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2DD8" w14:textId="77777777" w:rsidR="00616558" w:rsidRPr="0045498A" w:rsidRDefault="00000000">
      <w:pPr>
        <w:spacing w:line="360" w:lineRule="auto"/>
        <w:jc w:val="left"/>
        <w:rPr>
          <w:rFonts w:ascii="宋体" w:hAnsi="宋体"/>
          <w:bCs/>
          <w:sz w:val="24"/>
        </w:rPr>
      </w:pPr>
      <w:bookmarkStart w:id="0" w:name="_Toc97762480"/>
      <w:r w:rsidRPr="0045498A">
        <w:rPr>
          <w:rFonts w:ascii="宋体" w:hAnsi="宋体" w:hint="eastAsia"/>
          <w:bCs/>
          <w:sz w:val="24"/>
        </w:rPr>
        <w:t>附件二</w:t>
      </w:r>
    </w:p>
    <w:p w14:paraId="69D691D4" w14:textId="77777777" w:rsidR="00616558" w:rsidRPr="0045498A" w:rsidRDefault="00000000">
      <w:pPr>
        <w:spacing w:line="360" w:lineRule="auto"/>
        <w:jc w:val="center"/>
        <w:rPr>
          <w:rFonts w:ascii="宋体" w:hAnsi="宋体"/>
          <w:b/>
          <w:sz w:val="32"/>
          <w:szCs w:val="32"/>
        </w:rPr>
      </w:pPr>
      <w:r w:rsidRPr="0045498A">
        <w:rPr>
          <w:rFonts w:ascii="宋体" w:hAnsi="宋体" w:hint="eastAsia"/>
          <w:b/>
          <w:sz w:val="32"/>
          <w:szCs w:val="32"/>
        </w:rPr>
        <w:t>发包人要求</w:t>
      </w:r>
      <w:bookmarkEnd w:id="0"/>
    </w:p>
    <w:p w14:paraId="67A57477" w14:textId="77777777" w:rsidR="00616558" w:rsidRPr="0045498A" w:rsidRDefault="00616558">
      <w:pPr>
        <w:pStyle w:val="a1"/>
        <w:spacing w:after="0" w:line="360" w:lineRule="auto"/>
        <w:rPr>
          <w:rFonts w:ascii="宋体" w:eastAsia="宋体" w:hAnsi="宋体"/>
          <w:sz w:val="24"/>
        </w:rPr>
      </w:pPr>
    </w:p>
    <w:p w14:paraId="5171DC2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本项目设计、采购、施工除了应满足可行性研究报告等文件要求外，还应满足本发包人要求。承包人施工及选用的设备、材料须符合最新版本的国家标准和规范要求。</w:t>
      </w:r>
    </w:p>
    <w:p w14:paraId="1816FB91" w14:textId="77777777" w:rsidR="00616558" w:rsidRPr="0045498A" w:rsidRDefault="00000000" w:rsidP="00C62299">
      <w:pPr>
        <w:pStyle w:val="10"/>
        <w:spacing w:before="0" w:after="0" w:line="360" w:lineRule="auto"/>
        <w:ind w:left="0" w:firstLine="0"/>
        <w:jc w:val="left"/>
        <w:rPr>
          <w:rFonts w:ascii="宋体" w:eastAsia="宋体" w:hAnsi="宋体" w:cs="微软雅黑"/>
          <w:sz w:val="24"/>
          <w:szCs w:val="24"/>
        </w:rPr>
      </w:pPr>
      <w:bookmarkStart w:id="1" w:name="一、工程概况"/>
      <w:bookmarkEnd w:id="1"/>
      <w:r w:rsidRPr="0045498A">
        <w:rPr>
          <w:rFonts w:ascii="宋体" w:eastAsia="宋体" w:hAnsi="宋体" w:cs="微软雅黑" w:hint="eastAsia"/>
          <w:sz w:val="24"/>
          <w:szCs w:val="24"/>
        </w:rPr>
        <w:t>.工程概况</w:t>
      </w:r>
    </w:p>
    <w:p w14:paraId="44BD9CC7"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项目名称</w:t>
      </w:r>
    </w:p>
    <w:p w14:paraId="3934537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中国电信粤港澳大湾区5G通信枢纽一期土建工程EPC总承包</w:t>
      </w:r>
    </w:p>
    <w:p w14:paraId="2773AA0B"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建设规模</w:t>
      </w:r>
    </w:p>
    <w:p w14:paraId="1B4F345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项目位于从化区明珠工业园明珠片区</w:t>
      </w:r>
      <w:r w:rsidRPr="0045498A">
        <w:rPr>
          <w:rFonts w:ascii="宋体" w:hAnsi="宋体" w:hint="eastAsia"/>
          <w:sz w:val="24"/>
        </w:rPr>
        <w:t>，</w:t>
      </w:r>
      <w:r w:rsidRPr="0045498A">
        <w:rPr>
          <w:rFonts w:ascii="宋体" w:hAnsi="宋体"/>
          <w:sz w:val="24"/>
        </w:rPr>
        <w:t>项目</w:t>
      </w:r>
      <w:r w:rsidRPr="0045498A">
        <w:rPr>
          <w:rFonts w:ascii="宋体" w:hAnsi="宋体" w:hint="eastAsia"/>
          <w:sz w:val="24"/>
        </w:rPr>
        <w:t>用</w:t>
      </w:r>
      <w:r w:rsidRPr="0045498A">
        <w:rPr>
          <w:rFonts w:ascii="宋体" w:hAnsi="宋体"/>
          <w:sz w:val="24"/>
        </w:rPr>
        <w:t>地面积共计309亩，</w:t>
      </w:r>
      <w:r w:rsidRPr="0045498A">
        <w:rPr>
          <w:rFonts w:ascii="宋体" w:hAnsi="宋体" w:hint="eastAsia"/>
          <w:sz w:val="24"/>
        </w:rPr>
        <w:t>分为大小两个地块，</w:t>
      </w:r>
      <w:r w:rsidRPr="0045498A">
        <w:rPr>
          <w:rFonts w:ascii="宋体" w:hAnsi="宋体"/>
          <w:sz w:val="24"/>
        </w:rPr>
        <w:t>其中宝珠大道北侧大地块约259亩</w:t>
      </w:r>
      <w:r w:rsidRPr="0045498A">
        <w:rPr>
          <w:rFonts w:ascii="宋体" w:hAnsi="宋体" w:hint="eastAsia"/>
          <w:sz w:val="24"/>
        </w:rPr>
        <w:t>（分地块1编码MZ051401）</w:t>
      </w:r>
      <w:r w:rsidRPr="0045498A">
        <w:rPr>
          <w:rFonts w:ascii="宋体" w:hAnsi="宋体"/>
          <w:sz w:val="24"/>
        </w:rPr>
        <w:t>，南侧小地块约50亩</w:t>
      </w:r>
      <w:r w:rsidRPr="0045498A">
        <w:rPr>
          <w:rFonts w:ascii="宋体" w:hAnsi="宋体" w:hint="eastAsia"/>
          <w:sz w:val="24"/>
        </w:rPr>
        <w:t>（分地块2编码MZ060204），用地性质均为二类工业用地（M2）</w:t>
      </w:r>
      <w:r w:rsidRPr="0045498A">
        <w:rPr>
          <w:rFonts w:ascii="宋体" w:hAnsi="宋体"/>
          <w:sz w:val="24"/>
        </w:rPr>
        <w:t>。</w:t>
      </w:r>
      <w:r w:rsidRPr="0045498A">
        <w:rPr>
          <w:rFonts w:ascii="宋体" w:hAnsi="宋体" w:hint="eastAsia"/>
          <w:sz w:val="24"/>
        </w:rPr>
        <w:t>两个地块的规划条件如下：</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8"/>
        <w:gridCol w:w="3938"/>
        <w:gridCol w:w="4106"/>
      </w:tblGrid>
      <w:tr w:rsidR="00616558" w:rsidRPr="0045498A" w14:paraId="43E25048" w14:textId="77777777">
        <w:tc>
          <w:tcPr>
            <w:tcW w:w="1598" w:type="dxa"/>
            <w:vMerge w:val="restart"/>
            <w:vAlign w:val="center"/>
          </w:tcPr>
          <w:p w14:paraId="489817B1"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项目</w:t>
            </w:r>
          </w:p>
        </w:tc>
        <w:tc>
          <w:tcPr>
            <w:tcW w:w="8044" w:type="dxa"/>
            <w:gridSpan w:val="2"/>
            <w:vAlign w:val="center"/>
          </w:tcPr>
          <w:p w14:paraId="0DD1C795"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规划条件</w:t>
            </w:r>
          </w:p>
        </w:tc>
      </w:tr>
      <w:tr w:rsidR="00616558" w:rsidRPr="0045498A" w14:paraId="76BC07CD" w14:textId="77777777">
        <w:tc>
          <w:tcPr>
            <w:tcW w:w="1598" w:type="dxa"/>
            <w:vMerge/>
            <w:vAlign w:val="center"/>
          </w:tcPr>
          <w:p w14:paraId="5C2EB9FD" w14:textId="77777777" w:rsidR="00616558" w:rsidRPr="0045498A" w:rsidRDefault="00616558">
            <w:pPr>
              <w:pStyle w:val="af3"/>
              <w:spacing w:before="0" w:beforeAutospacing="0" w:after="0" w:afterAutospacing="0" w:line="360" w:lineRule="auto"/>
              <w:jc w:val="center"/>
              <w:rPr>
                <w:rFonts w:ascii="宋体" w:hAnsi="宋体"/>
              </w:rPr>
            </w:pPr>
          </w:p>
        </w:tc>
        <w:tc>
          <w:tcPr>
            <w:tcW w:w="3938" w:type="dxa"/>
            <w:vAlign w:val="center"/>
          </w:tcPr>
          <w:p w14:paraId="07A204F7"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分地块1（编码MZ051401）</w:t>
            </w:r>
          </w:p>
        </w:tc>
        <w:tc>
          <w:tcPr>
            <w:tcW w:w="4106" w:type="dxa"/>
            <w:vAlign w:val="center"/>
          </w:tcPr>
          <w:p w14:paraId="6DA53A57"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分地块2（编码MZ060204）</w:t>
            </w:r>
          </w:p>
        </w:tc>
      </w:tr>
      <w:tr w:rsidR="00616558" w:rsidRPr="0045498A" w14:paraId="0CFD1611" w14:textId="77777777">
        <w:tc>
          <w:tcPr>
            <w:tcW w:w="1598" w:type="dxa"/>
            <w:vAlign w:val="center"/>
          </w:tcPr>
          <w:p w14:paraId="26842867"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用地面积</w:t>
            </w:r>
          </w:p>
        </w:tc>
        <w:tc>
          <w:tcPr>
            <w:tcW w:w="3938" w:type="dxa"/>
            <w:vAlign w:val="center"/>
          </w:tcPr>
          <w:p w14:paraId="370EC4AB"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172608.7㎡</w:t>
            </w:r>
          </w:p>
        </w:tc>
        <w:tc>
          <w:tcPr>
            <w:tcW w:w="4106" w:type="dxa"/>
            <w:vAlign w:val="center"/>
          </w:tcPr>
          <w:p w14:paraId="4C9BB860"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33386.6㎡</w:t>
            </w:r>
          </w:p>
        </w:tc>
      </w:tr>
      <w:tr w:rsidR="00616558" w:rsidRPr="0045498A" w14:paraId="31803ED3" w14:textId="77777777">
        <w:tc>
          <w:tcPr>
            <w:tcW w:w="1598" w:type="dxa"/>
            <w:vAlign w:val="center"/>
          </w:tcPr>
          <w:p w14:paraId="64443FD3"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用地性质</w:t>
            </w:r>
          </w:p>
        </w:tc>
        <w:tc>
          <w:tcPr>
            <w:tcW w:w="8044" w:type="dxa"/>
            <w:gridSpan w:val="2"/>
            <w:vAlign w:val="center"/>
          </w:tcPr>
          <w:p w14:paraId="29515D97"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二类工业用地（M2）</w:t>
            </w:r>
          </w:p>
        </w:tc>
      </w:tr>
      <w:tr w:rsidR="00616558" w:rsidRPr="0045498A" w14:paraId="4FE740E5" w14:textId="77777777">
        <w:tc>
          <w:tcPr>
            <w:tcW w:w="1598" w:type="dxa"/>
            <w:vAlign w:val="center"/>
          </w:tcPr>
          <w:p w14:paraId="1FF6FDBF"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建筑密度</w:t>
            </w:r>
          </w:p>
        </w:tc>
        <w:tc>
          <w:tcPr>
            <w:tcW w:w="8044" w:type="dxa"/>
            <w:gridSpan w:val="2"/>
            <w:vAlign w:val="center"/>
          </w:tcPr>
          <w:p w14:paraId="61713ABD"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≥30%，≤80%</w:t>
            </w:r>
          </w:p>
        </w:tc>
      </w:tr>
      <w:tr w:rsidR="00616558" w:rsidRPr="0045498A" w14:paraId="7B8F7AA9" w14:textId="77777777">
        <w:tc>
          <w:tcPr>
            <w:tcW w:w="1598" w:type="dxa"/>
            <w:vAlign w:val="center"/>
          </w:tcPr>
          <w:p w14:paraId="75B18208"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容积率</w:t>
            </w:r>
          </w:p>
        </w:tc>
        <w:tc>
          <w:tcPr>
            <w:tcW w:w="8044" w:type="dxa"/>
            <w:gridSpan w:val="2"/>
            <w:vAlign w:val="center"/>
          </w:tcPr>
          <w:p w14:paraId="35D65BE0"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≥1.2，≤3.5</w:t>
            </w:r>
          </w:p>
        </w:tc>
      </w:tr>
      <w:tr w:rsidR="00616558" w:rsidRPr="0045498A" w14:paraId="3A9477E4" w14:textId="77777777">
        <w:tc>
          <w:tcPr>
            <w:tcW w:w="1598" w:type="dxa"/>
            <w:vAlign w:val="center"/>
          </w:tcPr>
          <w:p w14:paraId="4A61A0E0"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绿地率</w:t>
            </w:r>
          </w:p>
        </w:tc>
        <w:tc>
          <w:tcPr>
            <w:tcW w:w="8044" w:type="dxa"/>
            <w:gridSpan w:val="2"/>
            <w:vAlign w:val="center"/>
          </w:tcPr>
          <w:p w14:paraId="1E659867"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≤20%</w:t>
            </w:r>
          </w:p>
        </w:tc>
      </w:tr>
      <w:tr w:rsidR="00616558" w:rsidRPr="0045498A" w14:paraId="0532288C" w14:textId="77777777">
        <w:trPr>
          <w:trHeight w:val="458"/>
        </w:trPr>
        <w:tc>
          <w:tcPr>
            <w:tcW w:w="1598" w:type="dxa"/>
            <w:vAlign w:val="center"/>
          </w:tcPr>
          <w:p w14:paraId="6CC842D0"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建筑高度</w:t>
            </w:r>
          </w:p>
        </w:tc>
        <w:tc>
          <w:tcPr>
            <w:tcW w:w="8044" w:type="dxa"/>
            <w:gridSpan w:val="2"/>
            <w:vAlign w:val="center"/>
          </w:tcPr>
          <w:p w14:paraId="59B80F5C"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≤40m</w:t>
            </w:r>
          </w:p>
        </w:tc>
      </w:tr>
      <w:tr w:rsidR="00616558" w:rsidRPr="0045498A" w14:paraId="085D964E" w14:textId="77777777">
        <w:tc>
          <w:tcPr>
            <w:tcW w:w="1598" w:type="dxa"/>
            <w:vAlign w:val="center"/>
          </w:tcPr>
          <w:p w14:paraId="704A3A74"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建筑间距</w:t>
            </w:r>
          </w:p>
        </w:tc>
        <w:tc>
          <w:tcPr>
            <w:tcW w:w="8044" w:type="dxa"/>
            <w:gridSpan w:val="2"/>
            <w:vAlign w:val="center"/>
          </w:tcPr>
          <w:p w14:paraId="6AB16BCD"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按照《广州市城乡规划技术规定》执行，</w:t>
            </w:r>
          </w:p>
          <w:p w14:paraId="33817476"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城市设计有特殊规定的按其执行</w:t>
            </w:r>
          </w:p>
        </w:tc>
      </w:tr>
      <w:tr w:rsidR="00616558" w:rsidRPr="0045498A" w14:paraId="29FC5683" w14:textId="77777777">
        <w:tc>
          <w:tcPr>
            <w:tcW w:w="1598" w:type="dxa"/>
            <w:vAlign w:val="center"/>
          </w:tcPr>
          <w:p w14:paraId="095BF419"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建筑退让</w:t>
            </w:r>
          </w:p>
        </w:tc>
        <w:tc>
          <w:tcPr>
            <w:tcW w:w="8044" w:type="dxa"/>
            <w:gridSpan w:val="2"/>
            <w:vAlign w:val="center"/>
          </w:tcPr>
          <w:p w14:paraId="27B01AAE"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按照《广州市城乡规划技术规定》、《公路安全保护条例》执行</w:t>
            </w:r>
          </w:p>
        </w:tc>
      </w:tr>
      <w:tr w:rsidR="00616558" w:rsidRPr="0045498A" w14:paraId="1E1C3B3F" w14:textId="77777777">
        <w:tc>
          <w:tcPr>
            <w:tcW w:w="1598" w:type="dxa"/>
            <w:vAlign w:val="center"/>
          </w:tcPr>
          <w:p w14:paraId="508F9623"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停车配建</w:t>
            </w:r>
          </w:p>
        </w:tc>
        <w:tc>
          <w:tcPr>
            <w:tcW w:w="8044" w:type="dxa"/>
            <w:gridSpan w:val="2"/>
            <w:vAlign w:val="center"/>
          </w:tcPr>
          <w:p w14:paraId="2F7F9F8C"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按照《广州市建设项目停车配建指标规定》执行，</w:t>
            </w:r>
          </w:p>
          <w:p w14:paraId="4E1887BD" w14:textId="77777777" w:rsidR="00616558" w:rsidRPr="0045498A" w:rsidRDefault="00000000">
            <w:pPr>
              <w:pStyle w:val="af3"/>
              <w:spacing w:before="0" w:beforeAutospacing="0" w:after="0" w:afterAutospacing="0" w:line="360" w:lineRule="auto"/>
              <w:jc w:val="center"/>
              <w:rPr>
                <w:rFonts w:ascii="宋体" w:hAnsi="宋体"/>
              </w:rPr>
            </w:pPr>
            <w:r w:rsidRPr="0045498A">
              <w:rPr>
                <w:rFonts w:ascii="宋体" w:hAnsi="宋体" w:hint="eastAsia"/>
              </w:rPr>
              <w:t>城市设计有特殊规定的按其执行</w:t>
            </w:r>
          </w:p>
        </w:tc>
      </w:tr>
    </w:tbl>
    <w:p w14:paraId="3C19B4B5" w14:textId="77777777" w:rsidR="00616558" w:rsidRPr="0045498A" w:rsidRDefault="00616558">
      <w:pPr>
        <w:snapToGrid w:val="0"/>
        <w:spacing w:line="360" w:lineRule="auto"/>
        <w:ind w:firstLineChars="200" w:firstLine="480"/>
        <w:rPr>
          <w:rFonts w:ascii="宋体" w:hAnsi="宋体"/>
          <w:sz w:val="24"/>
        </w:rPr>
      </w:pPr>
    </w:p>
    <w:p w14:paraId="41364EE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一期工程建设用地为宝珠大道南侧小地块，用地面积33386.6㎡，其中一期建设范围用地面积为2</w:t>
      </w:r>
      <w:r w:rsidRPr="0045498A">
        <w:rPr>
          <w:rFonts w:ascii="宋体" w:hAnsi="宋体"/>
          <w:sz w:val="24"/>
        </w:rPr>
        <w:t>3370</w:t>
      </w:r>
      <w:r w:rsidRPr="0045498A">
        <w:rPr>
          <w:rFonts w:ascii="宋体" w:hAnsi="宋体" w:hint="eastAsia"/>
          <w:sz w:val="24"/>
        </w:rPr>
        <w:t>㎡。项目规划总建筑面积约</w:t>
      </w:r>
      <w:r w:rsidRPr="0045498A">
        <w:rPr>
          <w:rFonts w:ascii="宋体" w:hAnsi="宋体"/>
          <w:sz w:val="24"/>
        </w:rPr>
        <w:t>26971</w:t>
      </w:r>
      <w:r w:rsidRPr="0045498A">
        <w:rPr>
          <w:rFonts w:ascii="宋体" w:hAnsi="宋体" w:hint="eastAsia"/>
          <w:sz w:val="24"/>
        </w:rPr>
        <w:t>平方米，拟建设</w:t>
      </w:r>
      <w:r w:rsidRPr="0045498A">
        <w:rPr>
          <w:rFonts w:ascii="宋体" w:hAnsi="宋体"/>
          <w:sz w:val="24"/>
        </w:rPr>
        <w:t>1</w:t>
      </w:r>
      <w:r w:rsidRPr="0045498A">
        <w:rPr>
          <w:rFonts w:ascii="宋体" w:hAnsi="宋体" w:hint="eastAsia"/>
          <w:sz w:val="24"/>
        </w:rPr>
        <w:t>栋4层通信机楼（A2通信机楼）、1栋3层动力中心(C1动力中心)，1栋</w:t>
      </w:r>
      <w:r w:rsidRPr="0045498A">
        <w:rPr>
          <w:rFonts w:ascii="宋体" w:hAnsi="宋体"/>
          <w:sz w:val="24"/>
        </w:rPr>
        <w:t>2</w:t>
      </w:r>
      <w:r w:rsidRPr="0045498A">
        <w:rPr>
          <w:rFonts w:ascii="宋体" w:hAnsi="宋体" w:hint="eastAsia"/>
          <w:sz w:val="24"/>
        </w:rPr>
        <w:t>层运</w:t>
      </w:r>
      <w:proofErr w:type="gramStart"/>
      <w:r w:rsidRPr="0045498A">
        <w:rPr>
          <w:rFonts w:ascii="宋体" w:hAnsi="宋体" w:hint="eastAsia"/>
          <w:sz w:val="24"/>
        </w:rPr>
        <w:t>维保障</w:t>
      </w:r>
      <w:proofErr w:type="gramEnd"/>
      <w:r w:rsidRPr="0045498A">
        <w:rPr>
          <w:rFonts w:ascii="宋体" w:hAnsi="宋体" w:hint="eastAsia"/>
          <w:sz w:val="24"/>
        </w:rPr>
        <w:t>中心（B1运</w:t>
      </w:r>
      <w:proofErr w:type="gramStart"/>
      <w:r w:rsidRPr="0045498A">
        <w:rPr>
          <w:rFonts w:ascii="宋体" w:hAnsi="宋体" w:hint="eastAsia"/>
          <w:sz w:val="24"/>
        </w:rPr>
        <w:t>维保障</w:t>
      </w:r>
      <w:proofErr w:type="gramEnd"/>
      <w:r w:rsidRPr="0045498A">
        <w:rPr>
          <w:rFonts w:ascii="宋体" w:hAnsi="宋体" w:hint="eastAsia"/>
          <w:sz w:val="24"/>
        </w:rPr>
        <w:t>中心），共</w:t>
      </w:r>
      <w:r w:rsidRPr="0045498A">
        <w:rPr>
          <w:rFonts w:ascii="宋体" w:hAnsi="宋体"/>
          <w:sz w:val="24"/>
        </w:rPr>
        <w:t>3</w:t>
      </w:r>
      <w:r w:rsidRPr="0045498A">
        <w:rPr>
          <w:rFonts w:ascii="宋体" w:hAnsi="宋体" w:hint="eastAsia"/>
          <w:sz w:val="24"/>
        </w:rPr>
        <w:t>栋楼及相应的室外工程。</w:t>
      </w:r>
    </w:p>
    <w:p w14:paraId="5B7DFB3D"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lastRenderedPageBreak/>
        <w:t>现场条件和周围环境</w:t>
      </w:r>
    </w:p>
    <w:p w14:paraId="0B1C2EA7" w14:textId="77777777" w:rsidR="00616558" w:rsidRPr="0045498A" w:rsidRDefault="00000000" w:rsidP="00264A2C">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现场用水、用电条件</w:t>
      </w:r>
    </w:p>
    <w:p w14:paraId="533667D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发包人不提供临时用水、用电的接驳点。红线外的临时用水、用电的接通工程费根据实际发生数量据实结算，红线内的临时用水、用电的接通工程费用包含在施工范围内，以上两部分内容均在合同范围内。</w:t>
      </w:r>
    </w:p>
    <w:p w14:paraId="6939FB77" w14:textId="77777777" w:rsidR="00616558" w:rsidRPr="0045498A" w:rsidRDefault="00000000" w:rsidP="00264A2C">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现场条件</w:t>
      </w:r>
    </w:p>
    <w:p w14:paraId="7071010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投标人可自行考察施工现场</w:t>
      </w:r>
      <w:r w:rsidRPr="0045498A">
        <w:rPr>
          <w:rFonts w:ascii="宋体" w:hAnsi="宋体" w:hint="eastAsia"/>
          <w:sz w:val="24"/>
        </w:rPr>
        <w:t>及</w:t>
      </w:r>
      <w:r w:rsidRPr="0045498A">
        <w:rPr>
          <w:rFonts w:ascii="宋体" w:hAnsi="宋体"/>
          <w:sz w:val="24"/>
        </w:rPr>
        <w:t>周围环境。</w:t>
      </w:r>
      <w:r w:rsidRPr="0045498A">
        <w:rPr>
          <w:rFonts w:ascii="宋体" w:hAnsi="宋体" w:hint="eastAsia"/>
          <w:sz w:val="24"/>
        </w:rPr>
        <w:t>道路开口、场地排水需按园区管委会要求确定。</w:t>
      </w:r>
    </w:p>
    <w:p w14:paraId="3A428DD1" w14:textId="77777777" w:rsidR="00616558" w:rsidRPr="0045498A" w:rsidRDefault="00000000" w:rsidP="00264A2C">
      <w:pPr>
        <w:pStyle w:val="3"/>
        <w:spacing w:before="0" w:after="0" w:line="360" w:lineRule="auto"/>
        <w:ind w:left="142" w:hanging="142"/>
        <w:rPr>
          <w:rFonts w:ascii="宋体" w:hAnsi="宋体" w:cs="微软雅黑"/>
          <w:sz w:val="24"/>
          <w:szCs w:val="24"/>
        </w:rPr>
      </w:pPr>
      <w:r w:rsidRPr="0045498A">
        <w:rPr>
          <w:rFonts w:ascii="宋体" w:hAnsi="宋体" w:cs="微软雅黑"/>
          <w:sz w:val="24"/>
          <w:szCs w:val="24"/>
        </w:rPr>
        <w:t>资料和信息的使用</w:t>
      </w:r>
    </w:p>
    <w:p w14:paraId="26475E0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文件中载明的涉及本工程现场条件、周围环境、地质及水文等情况的资料和信息数据，是招标人现有的和客观的。投标人据此</w:t>
      </w:r>
      <w:proofErr w:type="gramStart"/>
      <w:r w:rsidRPr="0045498A">
        <w:rPr>
          <w:rFonts w:ascii="宋体" w:hAnsi="宋体"/>
          <w:sz w:val="24"/>
        </w:rPr>
        <w:t>作出</w:t>
      </w:r>
      <w:proofErr w:type="gramEnd"/>
      <w:r w:rsidRPr="0045498A">
        <w:rPr>
          <w:rFonts w:ascii="宋体" w:hAnsi="宋体"/>
          <w:sz w:val="24"/>
        </w:rPr>
        <w:t>的推论、判断和决策，由投标人自行负责。</w:t>
      </w:r>
    </w:p>
    <w:p w14:paraId="1AEED084" w14:textId="77777777" w:rsidR="00616558" w:rsidRPr="0045498A" w:rsidRDefault="00000000" w:rsidP="00C62299">
      <w:pPr>
        <w:pStyle w:val="10"/>
        <w:spacing w:before="0" w:after="0" w:line="360" w:lineRule="auto"/>
        <w:ind w:left="425"/>
        <w:rPr>
          <w:rFonts w:ascii="宋体" w:eastAsia="宋体" w:hAnsi="宋体" w:cs="微软雅黑"/>
          <w:sz w:val="24"/>
          <w:szCs w:val="24"/>
        </w:rPr>
      </w:pPr>
      <w:bookmarkStart w:id="2" w:name="二、工期要求"/>
      <w:bookmarkEnd w:id="2"/>
      <w:r w:rsidRPr="0045498A">
        <w:rPr>
          <w:rFonts w:ascii="宋体" w:eastAsia="宋体" w:hAnsi="宋体" w:cs="微软雅黑" w:hint="eastAsia"/>
          <w:sz w:val="24"/>
          <w:szCs w:val="24"/>
        </w:rPr>
        <w:t>.工程范围</w:t>
      </w:r>
    </w:p>
    <w:p w14:paraId="56C2249B" w14:textId="77777777" w:rsidR="00616558" w:rsidRPr="0045498A" w:rsidRDefault="00000000">
      <w:pPr>
        <w:pStyle w:val="2"/>
        <w:spacing w:before="0" w:after="0"/>
        <w:rPr>
          <w:rFonts w:ascii="宋体" w:hAnsi="宋体"/>
          <w:color w:val="auto"/>
          <w:sz w:val="24"/>
          <w:szCs w:val="24"/>
        </w:rPr>
      </w:pPr>
      <w:bookmarkStart w:id="3" w:name="_Hlk101451798"/>
      <w:r w:rsidRPr="0045498A">
        <w:rPr>
          <w:rFonts w:ascii="宋体" w:hAnsi="宋体" w:hint="eastAsia"/>
          <w:color w:val="auto"/>
          <w:sz w:val="24"/>
          <w:szCs w:val="24"/>
        </w:rPr>
        <w:t>工程</w:t>
      </w:r>
      <w:r w:rsidRPr="0045498A">
        <w:rPr>
          <w:rFonts w:ascii="宋体" w:hAnsi="宋体"/>
          <w:color w:val="auto"/>
          <w:sz w:val="24"/>
          <w:szCs w:val="24"/>
        </w:rPr>
        <w:t>范围</w:t>
      </w:r>
    </w:p>
    <w:p w14:paraId="7103212D" w14:textId="77777777" w:rsidR="00616558" w:rsidRPr="0045498A" w:rsidRDefault="00000000">
      <w:pPr>
        <w:snapToGrid w:val="0"/>
        <w:spacing w:line="360" w:lineRule="auto"/>
        <w:ind w:firstLineChars="200" w:firstLine="480"/>
        <w:jc w:val="left"/>
        <w:rPr>
          <w:rFonts w:ascii="宋体" w:hAnsi="宋体"/>
          <w:sz w:val="24"/>
        </w:rPr>
      </w:pPr>
      <w:r w:rsidRPr="0045498A">
        <w:rPr>
          <w:rFonts w:ascii="宋体" w:hAnsi="宋体" w:hint="eastAsia"/>
          <w:sz w:val="24"/>
        </w:rPr>
        <w:t>本期工程范围包括</w:t>
      </w:r>
      <w:r w:rsidRPr="0045498A">
        <w:rPr>
          <w:rFonts w:ascii="宋体" w:hAnsi="宋体"/>
          <w:sz w:val="24"/>
        </w:rPr>
        <w:t>一期土建工程建设范围内的</w:t>
      </w:r>
      <w:r w:rsidRPr="0045498A">
        <w:rPr>
          <w:rFonts w:ascii="宋体" w:hAnsi="宋体" w:hint="eastAsia"/>
          <w:sz w:val="24"/>
        </w:rPr>
        <w:t>单体工程、室外工程，以及大地块用地红线范围的临时围墙、小地块二期范围的临时围墙。</w:t>
      </w:r>
    </w:p>
    <w:p w14:paraId="201CB782" w14:textId="77777777" w:rsidR="00616558" w:rsidRPr="0045498A" w:rsidRDefault="00000000">
      <w:pPr>
        <w:snapToGrid w:val="0"/>
        <w:spacing w:line="360" w:lineRule="auto"/>
        <w:jc w:val="left"/>
        <w:rPr>
          <w:rFonts w:ascii="宋体" w:hAnsi="宋体" w:cs="微软雅黑"/>
          <w:bCs/>
          <w:sz w:val="24"/>
        </w:rPr>
      </w:pPr>
      <w:r w:rsidRPr="0045498A">
        <w:rPr>
          <w:rFonts w:ascii="宋体" w:hAnsi="宋体"/>
          <w:noProof/>
          <w:sz w:val="24"/>
        </w:rPr>
        <w:drawing>
          <wp:inline distT="0" distB="0" distL="0" distR="0" wp14:anchorId="5E8686E0" wp14:editId="30E7577D">
            <wp:extent cx="4762500" cy="401613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765624" cy="4018772"/>
                    </a:xfrm>
                    <a:prstGeom prst="rect">
                      <a:avLst/>
                    </a:prstGeom>
                    <a:noFill/>
                    <a:ln>
                      <a:noFill/>
                    </a:ln>
                  </pic:spPr>
                </pic:pic>
              </a:graphicData>
            </a:graphic>
          </wp:inline>
        </w:drawing>
      </w:r>
    </w:p>
    <w:p w14:paraId="08B8A8F5" w14:textId="77777777" w:rsidR="00616558" w:rsidRPr="0045498A" w:rsidRDefault="00616558">
      <w:pPr>
        <w:pStyle w:val="a1"/>
        <w:spacing w:after="0" w:line="360" w:lineRule="auto"/>
        <w:jc w:val="center"/>
        <w:rPr>
          <w:rFonts w:ascii="宋体" w:eastAsia="宋体" w:hAnsi="宋体"/>
          <w:sz w:val="24"/>
        </w:rPr>
      </w:pPr>
    </w:p>
    <w:p w14:paraId="2F36715B" w14:textId="77777777" w:rsidR="00616558" w:rsidRPr="0045498A" w:rsidRDefault="00616558">
      <w:pPr>
        <w:pStyle w:val="a1"/>
        <w:spacing w:after="0" w:line="360" w:lineRule="auto"/>
        <w:jc w:val="left"/>
        <w:rPr>
          <w:rFonts w:ascii="宋体" w:eastAsia="宋体" w:hAnsi="宋体"/>
          <w:sz w:val="24"/>
        </w:rPr>
        <w:sectPr w:rsidR="00616558" w:rsidRPr="0045498A">
          <w:pgSz w:w="11910" w:h="16840"/>
          <w:pgMar w:top="1440" w:right="1180" w:bottom="1180" w:left="1300" w:header="0" w:footer="995" w:gutter="0"/>
          <w:cols w:space="720"/>
        </w:sectPr>
      </w:pPr>
    </w:p>
    <w:p w14:paraId="56A78C4B" w14:textId="77777777" w:rsidR="00616558" w:rsidRPr="0045498A" w:rsidRDefault="00000000">
      <w:pPr>
        <w:pStyle w:val="2"/>
        <w:spacing w:before="0" w:after="0"/>
        <w:rPr>
          <w:rFonts w:ascii="宋体" w:hAnsi="宋体"/>
          <w:color w:val="auto"/>
          <w:sz w:val="24"/>
          <w:szCs w:val="24"/>
        </w:rPr>
      </w:pPr>
      <w:r w:rsidRPr="0045498A">
        <w:rPr>
          <w:rFonts w:ascii="宋体" w:hAnsi="宋体"/>
          <w:color w:val="auto"/>
          <w:sz w:val="24"/>
          <w:szCs w:val="24"/>
        </w:rPr>
        <w:lastRenderedPageBreak/>
        <w:t>工程</w:t>
      </w:r>
      <w:r w:rsidRPr="0045498A">
        <w:rPr>
          <w:rFonts w:ascii="宋体" w:hAnsi="宋体" w:hint="eastAsia"/>
          <w:color w:val="auto"/>
          <w:sz w:val="24"/>
          <w:szCs w:val="24"/>
        </w:rPr>
        <w:t>设计</w:t>
      </w:r>
      <w:r w:rsidRPr="0045498A">
        <w:rPr>
          <w:rFonts w:ascii="宋体" w:hAnsi="宋体"/>
          <w:color w:val="auto"/>
          <w:sz w:val="24"/>
          <w:szCs w:val="24"/>
        </w:rPr>
        <w:t>范围</w:t>
      </w:r>
    </w:p>
    <w:p w14:paraId="74BE0A1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本工程拟建1栋4层通信机楼（A</w:t>
      </w:r>
      <w:r w:rsidRPr="0045498A">
        <w:rPr>
          <w:rFonts w:ascii="宋体" w:hAnsi="宋体" w:hint="eastAsia"/>
          <w:sz w:val="24"/>
        </w:rPr>
        <w:t>2</w:t>
      </w:r>
      <w:r w:rsidRPr="0045498A">
        <w:rPr>
          <w:rFonts w:ascii="宋体" w:hAnsi="宋体"/>
          <w:sz w:val="24"/>
        </w:rPr>
        <w:t>通信机楼）、</w:t>
      </w:r>
      <w:r w:rsidRPr="0045498A">
        <w:rPr>
          <w:rFonts w:ascii="宋体" w:hAnsi="宋体" w:hint="eastAsia"/>
          <w:sz w:val="24"/>
        </w:rPr>
        <w:t>1</w:t>
      </w:r>
      <w:r w:rsidRPr="0045498A">
        <w:rPr>
          <w:rFonts w:ascii="宋体" w:hAnsi="宋体"/>
          <w:sz w:val="24"/>
        </w:rPr>
        <w:t>栋3层动力中心(</w:t>
      </w:r>
      <w:r w:rsidRPr="0045498A">
        <w:rPr>
          <w:rFonts w:ascii="宋体" w:hAnsi="宋体" w:hint="eastAsia"/>
          <w:sz w:val="24"/>
        </w:rPr>
        <w:t>C1</w:t>
      </w:r>
      <w:r w:rsidRPr="0045498A">
        <w:rPr>
          <w:rFonts w:ascii="宋体" w:hAnsi="宋体"/>
          <w:sz w:val="24"/>
        </w:rPr>
        <w:t>动力中心)，1栋</w:t>
      </w:r>
      <w:r w:rsidRPr="0045498A">
        <w:rPr>
          <w:rFonts w:ascii="宋体" w:hAnsi="宋体" w:hint="eastAsia"/>
          <w:sz w:val="24"/>
        </w:rPr>
        <w:t>2层运</w:t>
      </w:r>
      <w:proofErr w:type="gramStart"/>
      <w:r w:rsidRPr="0045498A">
        <w:rPr>
          <w:rFonts w:ascii="宋体" w:hAnsi="宋体" w:hint="eastAsia"/>
          <w:sz w:val="24"/>
        </w:rPr>
        <w:t>维</w:t>
      </w:r>
      <w:r w:rsidRPr="0045498A">
        <w:rPr>
          <w:rFonts w:ascii="宋体" w:hAnsi="宋体"/>
          <w:sz w:val="24"/>
        </w:rPr>
        <w:t>保障</w:t>
      </w:r>
      <w:proofErr w:type="gramEnd"/>
      <w:r w:rsidRPr="0045498A">
        <w:rPr>
          <w:rFonts w:ascii="宋体" w:hAnsi="宋体"/>
          <w:sz w:val="24"/>
        </w:rPr>
        <w:t>中心</w:t>
      </w:r>
      <w:r w:rsidRPr="0045498A">
        <w:rPr>
          <w:rFonts w:ascii="宋体" w:hAnsi="宋体" w:hint="eastAsia"/>
          <w:sz w:val="24"/>
        </w:rPr>
        <w:t>（</w:t>
      </w:r>
      <w:r w:rsidRPr="0045498A">
        <w:rPr>
          <w:rFonts w:ascii="宋体" w:hAnsi="宋体"/>
          <w:sz w:val="24"/>
        </w:rPr>
        <w:t>B1运</w:t>
      </w:r>
      <w:proofErr w:type="gramStart"/>
      <w:r w:rsidRPr="0045498A">
        <w:rPr>
          <w:rFonts w:ascii="宋体" w:hAnsi="宋体"/>
          <w:sz w:val="24"/>
        </w:rPr>
        <w:t>维保障</w:t>
      </w:r>
      <w:proofErr w:type="gramEnd"/>
      <w:r w:rsidRPr="0045498A">
        <w:rPr>
          <w:rFonts w:ascii="宋体" w:hAnsi="宋体"/>
          <w:sz w:val="24"/>
        </w:rPr>
        <w:t>中心</w:t>
      </w:r>
      <w:r w:rsidRPr="0045498A">
        <w:rPr>
          <w:rFonts w:ascii="宋体" w:hAnsi="宋体" w:hint="eastAsia"/>
          <w:sz w:val="24"/>
        </w:rPr>
        <w:t>）</w:t>
      </w:r>
      <w:r w:rsidRPr="0045498A">
        <w:rPr>
          <w:rFonts w:ascii="宋体" w:hAnsi="宋体"/>
          <w:sz w:val="24"/>
        </w:rPr>
        <w:t>，共3栋楼及相应的室外工程。总建筑面积为26971㎡，其中</w:t>
      </w:r>
      <w:r w:rsidRPr="0045498A">
        <w:rPr>
          <w:rFonts w:ascii="宋体" w:hAnsi="宋体" w:hint="eastAsia"/>
          <w:sz w:val="24"/>
        </w:rPr>
        <w:t>A2</w:t>
      </w:r>
      <w:r w:rsidRPr="0045498A">
        <w:rPr>
          <w:rFonts w:ascii="宋体" w:hAnsi="宋体"/>
          <w:sz w:val="24"/>
        </w:rPr>
        <w:t>通信机楼建筑面积</w:t>
      </w:r>
      <w:r w:rsidRPr="0045498A">
        <w:rPr>
          <w:rFonts w:ascii="宋体" w:hAnsi="宋体" w:hint="eastAsia"/>
          <w:sz w:val="24"/>
        </w:rPr>
        <w:t>1</w:t>
      </w:r>
      <w:r w:rsidRPr="0045498A">
        <w:rPr>
          <w:rFonts w:ascii="宋体" w:hAnsi="宋体"/>
          <w:sz w:val="24"/>
        </w:rPr>
        <w:t>9735㎡，</w:t>
      </w:r>
      <w:r w:rsidRPr="0045498A">
        <w:rPr>
          <w:rFonts w:ascii="宋体" w:hAnsi="宋体" w:hint="eastAsia"/>
          <w:sz w:val="24"/>
        </w:rPr>
        <w:t>C1</w:t>
      </w:r>
      <w:r w:rsidRPr="0045498A">
        <w:rPr>
          <w:rFonts w:ascii="宋体" w:hAnsi="宋体"/>
          <w:sz w:val="24"/>
        </w:rPr>
        <w:t>动力中心建筑面积</w:t>
      </w:r>
      <w:r w:rsidRPr="0045498A">
        <w:rPr>
          <w:rFonts w:ascii="宋体" w:hAnsi="宋体" w:hint="eastAsia"/>
          <w:sz w:val="24"/>
        </w:rPr>
        <w:t>3836</w:t>
      </w:r>
      <w:r w:rsidRPr="0045498A">
        <w:rPr>
          <w:rFonts w:ascii="宋体" w:hAnsi="宋体"/>
          <w:sz w:val="24"/>
        </w:rPr>
        <w:t>㎡，</w:t>
      </w:r>
      <w:r w:rsidRPr="0045498A">
        <w:rPr>
          <w:rFonts w:ascii="宋体" w:hAnsi="宋体" w:hint="eastAsia"/>
          <w:sz w:val="24"/>
        </w:rPr>
        <w:t>B1</w:t>
      </w:r>
      <w:r w:rsidRPr="0045498A">
        <w:rPr>
          <w:rFonts w:ascii="宋体" w:hAnsi="宋体"/>
          <w:sz w:val="24"/>
        </w:rPr>
        <w:t>运</w:t>
      </w:r>
      <w:proofErr w:type="gramStart"/>
      <w:r w:rsidRPr="0045498A">
        <w:rPr>
          <w:rFonts w:ascii="宋体" w:hAnsi="宋体"/>
          <w:sz w:val="24"/>
        </w:rPr>
        <w:t>维保障</w:t>
      </w:r>
      <w:proofErr w:type="gramEnd"/>
      <w:r w:rsidRPr="0045498A">
        <w:rPr>
          <w:rFonts w:ascii="宋体" w:hAnsi="宋体"/>
          <w:sz w:val="24"/>
        </w:rPr>
        <w:t>中心建筑面积</w:t>
      </w:r>
      <w:r w:rsidRPr="0045498A">
        <w:rPr>
          <w:rFonts w:ascii="宋体" w:hAnsi="宋体" w:hint="eastAsia"/>
          <w:sz w:val="24"/>
        </w:rPr>
        <w:t>3</w:t>
      </w:r>
      <w:r w:rsidRPr="0045498A">
        <w:rPr>
          <w:rFonts w:ascii="宋体" w:hAnsi="宋体"/>
          <w:sz w:val="24"/>
        </w:rPr>
        <w:t>4</w:t>
      </w:r>
      <w:r w:rsidRPr="0045498A">
        <w:rPr>
          <w:rFonts w:ascii="宋体" w:hAnsi="宋体" w:hint="eastAsia"/>
          <w:sz w:val="24"/>
        </w:rPr>
        <w:t>00</w:t>
      </w:r>
      <w:r w:rsidRPr="0045498A">
        <w:rPr>
          <w:rFonts w:ascii="宋体" w:hAnsi="宋体"/>
          <w:sz w:val="24"/>
        </w:rPr>
        <w:t>㎡。</w:t>
      </w:r>
    </w:p>
    <w:p w14:paraId="3995DCF6" w14:textId="7EEB562A"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根据集团8321标准化建设方案，A</w:t>
      </w:r>
      <w:r w:rsidRPr="0045498A">
        <w:rPr>
          <w:rFonts w:ascii="宋体" w:hAnsi="宋体" w:hint="eastAsia"/>
          <w:sz w:val="24"/>
        </w:rPr>
        <w:t>2</w:t>
      </w:r>
      <w:r w:rsidRPr="0045498A">
        <w:rPr>
          <w:rFonts w:ascii="宋体" w:hAnsi="宋体"/>
          <w:sz w:val="24"/>
        </w:rPr>
        <w:t>通信机楼规划</w:t>
      </w:r>
      <w:r w:rsidRPr="0045498A">
        <w:rPr>
          <w:rFonts w:ascii="宋体" w:hAnsi="宋体" w:hint="eastAsia"/>
          <w:sz w:val="24"/>
        </w:rPr>
        <w:t>机架数及机架功率应满足可</w:t>
      </w:r>
      <w:proofErr w:type="gramStart"/>
      <w:r w:rsidRPr="0045498A">
        <w:rPr>
          <w:rFonts w:ascii="宋体" w:hAnsi="宋体" w:hint="eastAsia"/>
          <w:sz w:val="24"/>
        </w:rPr>
        <w:t>研</w:t>
      </w:r>
      <w:proofErr w:type="gramEnd"/>
      <w:r w:rsidRPr="0045498A">
        <w:rPr>
          <w:rFonts w:ascii="宋体" w:hAnsi="宋体" w:hint="eastAsia"/>
          <w:sz w:val="24"/>
        </w:rPr>
        <w:t>报告要求且机架数不应低于可</w:t>
      </w:r>
      <w:proofErr w:type="gramStart"/>
      <w:r w:rsidRPr="0045498A">
        <w:rPr>
          <w:rFonts w:ascii="宋体" w:hAnsi="宋体" w:hint="eastAsia"/>
          <w:sz w:val="24"/>
        </w:rPr>
        <w:t>研</w:t>
      </w:r>
      <w:proofErr w:type="gramEnd"/>
      <w:r w:rsidRPr="0045498A">
        <w:rPr>
          <w:rFonts w:ascii="宋体" w:hAnsi="宋体" w:hint="eastAsia"/>
          <w:sz w:val="24"/>
        </w:rPr>
        <w:t>报告规划的机架数量；C1动力中心规划的柴油发电机组数量不应低于可</w:t>
      </w:r>
      <w:proofErr w:type="gramStart"/>
      <w:r w:rsidRPr="0045498A">
        <w:rPr>
          <w:rFonts w:ascii="宋体" w:hAnsi="宋体" w:hint="eastAsia"/>
          <w:sz w:val="24"/>
        </w:rPr>
        <w:t>研</w:t>
      </w:r>
      <w:proofErr w:type="gramEnd"/>
      <w:r w:rsidRPr="0045498A">
        <w:rPr>
          <w:rFonts w:ascii="宋体" w:hAnsi="宋体" w:hint="eastAsia"/>
          <w:sz w:val="24"/>
        </w:rPr>
        <w:t>要求。</w:t>
      </w:r>
    </w:p>
    <w:p w14:paraId="25558CAF" w14:textId="22D4CF4F" w:rsidR="00505B2D" w:rsidRPr="0045498A" w:rsidRDefault="00505B2D" w:rsidP="00505B2D">
      <w:pPr>
        <w:pStyle w:val="a1"/>
        <w:ind w:firstLineChars="200" w:firstLine="482"/>
        <w:rPr>
          <w:rFonts w:ascii="宋体" w:eastAsia="宋体" w:hAnsi="宋体"/>
          <w:b/>
          <w:bCs/>
          <w:sz w:val="24"/>
        </w:rPr>
      </w:pPr>
      <w:r w:rsidRPr="0045498A">
        <w:rPr>
          <w:rFonts w:ascii="宋体" w:eastAsia="宋体" w:hAnsi="宋体" w:hint="eastAsia"/>
          <w:b/>
          <w:bCs/>
          <w:sz w:val="24"/>
        </w:rPr>
        <w:t>本项目的工艺设计需满足未来机电工程竣工投产后PUE可满足小于1.25的要求。</w:t>
      </w:r>
    </w:p>
    <w:p w14:paraId="454AA3A8" w14:textId="77777777" w:rsidR="00616558" w:rsidRPr="0045498A" w:rsidRDefault="00000000">
      <w:pPr>
        <w:pStyle w:val="2f8"/>
        <w:snapToGrid w:val="0"/>
        <w:spacing w:line="360" w:lineRule="auto"/>
        <w:ind w:firstLineChars="200" w:firstLine="480"/>
        <w:rPr>
          <w:rFonts w:ascii="宋体" w:hAnsi="宋体"/>
          <w:kern w:val="2"/>
          <w:sz w:val="24"/>
          <w:szCs w:val="24"/>
        </w:rPr>
      </w:pPr>
      <w:r w:rsidRPr="0045498A">
        <w:rPr>
          <w:rFonts w:ascii="宋体" w:hAnsi="宋体" w:hint="eastAsia"/>
          <w:kern w:val="2"/>
          <w:sz w:val="24"/>
          <w:szCs w:val="24"/>
        </w:rPr>
        <w:t>本期工程建设规模及内容概况表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2150"/>
        <w:gridCol w:w="2326"/>
        <w:gridCol w:w="2303"/>
      </w:tblGrid>
      <w:tr w:rsidR="00616558" w:rsidRPr="0045498A" w14:paraId="68BB8A82" w14:textId="77777777">
        <w:trPr>
          <w:trHeight w:val="90"/>
        </w:trPr>
        <w:tc>
          <w:tcPr>
            <w:tcW w:w="2865" w:type="dxa"/>
            <w:tcBorders>
              <w:top w:val="single" w:sz="4" w:space="0" w:color="auto"/>
              <w:left w:val="single" w:sz="4" w:space="0" w:color="auto"/>
              <w:bottom w:val="single" w:sz="4" w:space="0" w:color="auto"/>
              <w:right w:val="single" w:sz="4" w:space="0" w:color="auto"/>
            </w:tcBorders>
            <w:vAlign w:val="center"/>
          </w:tcPr>
          <w:p w14:paraId="5B753926"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分项</w:t>
            </w:r>
          </w:p>
        </w:tc>
        <w:tc>
          <w:tcPr>
            <w:tcW w:w="2150" w:type="dxa"/>
            <w:tcBorders>
              <w:top w:val="single" w:sz="4" w:space="0" w:color="auto"/>
              <w:left w:val="single" w:sz="4" w:space="0" w:color="auto"/>
              <w:bottom w:val="single" w:sz="4" w:space="0" w:color="auto"/>
              <w:right w:val="single" w:sz="4" w:space="0" w:color="auto"/>
            </w:tcBorders>
            <w:vAlign w:val="center"/>
          </w:tcPr>
          <w:p w14:paraId="3B1E4DD5"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建筑面积(㎡)</w:t>
            </w:r>
          </w:p>
        </w:tc>
        <w:tc>
          <w:tcPr>
            <w:tcW w:w="2326" w:type="dxa"/>
            <w:tcBorders>
              <w:top w:val="single" w:sz="4" w:space="0" w:color="auto"/>
              <w:left w:val="single" w:sz="4" w:space="0" w:color="auto"/>
              <w:bottom w:val="single" w:sz="4" w:space="0" w:color="auto"/>
              <w:right w:val="single" w:sz="4" w:space="0" w:color="auto"/>
            </w:tcBorders>
            <w:vAlign w:val="center"/>
          </w:tcPr>
          <w:p w14:paraId="149CB4DB"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地上建筑面积（㎡）</w:t>
            </w:r>
          </w:p>
        </w:tc>
        <w:tc>
          <w:tcPr>
            <w:tcW w:w="2303" w:type="dxa"/>
            <w:tcBorders>
              <w:top w:val="single" w:sz="4" w:space="0" w:color="auto"/>
              <w:left w:val="single" w:sz="4" w:space="0" w:color="auto"/>
              <w:bottom w:val="single" w:sz="4" w:space="0" w:color="auto"/>
              <w:right w:val="single" w:sz="4" w:space="0" w:color="auto"/>
            </w:tcBorders>
            <w:vAlign w:val="center"/>
          </w:tcPr>
          <w:p w14:paraId="5AD2EC2E"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地下建筑面积（㎡）</w:t>
            </w:r>
          </w:p>
        </w:tc>
      </w:tr>
      <w:tr w:rsidR="00616558" w:rsidRPr="0045498A" w14:paraId="33675444" w14:textId="77777777">
        <w:trPr>
          <w:trHeight w:val="378"/>
        </w:trPr>
        <w:tc>
          <w:tcPr>
            <w:tcW w:w="2865" w:type="dxa"/>
            <w:tcBorders>
              <w:top w:val="single" w:sz="4" w:space="0" w:color="auto"/>
              <w:left w:val="single" w:sz="4" w:space="0" w:color="auto"/>
              <w:bottom w:val="single" w:sz="4" w:space="0" w:color="auto"/>
              <w:right w:val="single" w:sz="4" w:space="0" w:color="auto"/>
            </w:tcBorders>
            <w:vAlign w:val="center"/>
          </w:tcPr>
          <w:p w14:paraId="7DBD8958"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A2通信机楼</w:t>
            </w:r>
          </w:p>
        </w:tc>
        <w:tc>
          <w:tcPr>
            <w:tcW w:w="2150" w:type="dxa"/>
            <w:tcBorders>
              <w:top w:val="single" w:sz="4" w:space="0" w:color="auto"/>
              <w:left w:val="single" w:sz="4" w:space="0" w:color="auto"/>
              <w:bottom w:val="single" w:sz="4" w:space="0" w:color="auto"/>
              <w:right w:val="single" w:sz="4" w:space="0" w:color="auto"/>
            </w:tcBorders>
            <w:vAlign w:val="center"/>
          </w:tcPr>
          <w:p w14:paraId="6B4AF94A"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19735</w:t>
            </w:r>
          </w:p>
        </w:tc>
        <w:tc>
          <w:tcPr>
            <w:tcW w:w="2326" w:type="dxa"/>
            <w:tcBorders>
              <w:top w:val="single" w:sz="4" w:space="0" w:color="auto"/>
              <w:left w:val="single" w:sz="4" w:space="0" w:color="auto"/>
              <w:bottom w:val="single" w:sz="4" w:space="0" w:color="auto"/>
              <w:right w:val="single" w:sz="4" w:space="0" w:color="auto"/>
            </w:tcBorders>
            <w:vAlign w:val="center"/>
          </w:tcPr>
          <w:p w14:paraId="364A83B2"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19735</w:t>
            </w:r>
          </w:p>
        </w:tc>
        <w:tc>
          <w:tcPr>
            <w:tcW w:w="2303" w:type="dxa"/>
            <w:tcBorders>
              <w:top w:val="single" w:sz="4" w:space="0" w:color="auto"/>
              <w:left w:val="single" w:sz="4" w:space="0" w:color="auto"/>
              <w:bottom w:val="single" w:sz="4" w:space="0" w:color="auto"/>
              <w:right w:val="single" w:sz="4" w:space="0" w:color="auto"/>
            </w:tcBorders>
            <w:vAlign w:val="center"/>
          </w:tcPr>
          <w:p w14:paraId="63AB0839"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w:t>
            </w:r>
          </w:p>
        </w:tc>
      </w:tr>
      <w:tr w:rsidR="00616558" w:rsidRPr="0045498A" w14:paraId="04818DFB" w14:textId="77777777">
        <w:trPr>
          <w:trHeight w:val="408"/>
        </w:trPr>
        <w:tc>
          <w:tcPr>
            <w:tcW w:w="2865" w:type="dxa"/>
            <w:tcBorders>
              <w:top w:val="single" w:sz="4" w:space="0" w:color="auto"/>
              <w:left w:val="single" w:sz="4" w:space="0" w:color="auto"/>
              <w:bottom w:val="single" w:sz="4" w:space="0" w:color="auto"/>
              <w:right w:val="single" w:sz="4" w:space="0" w:color="auto"/>
            </w:tcBorders>
            <w:vAlign w:val="center"/>
          </w:tcPr>
          <w:p w14:paraId="1E187B37"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C1动力中心</w:t>
            </w:r>
          </w:p>
        </w:tc>
        <w:tc>
          <w:tcPr>
            <w:tcW w:w="2150" w:type="dxa"/>
            <w:tcBorders>
              <w:top w:val="single" w:sz="4" w:space="0" w:color="auto"/>
              <w:left w:val="single" w:sz="4" w:space="0" w:color="auto"/>
              <w:bottom w:val="single" w:sz="4" w:space="0" w:color="auto"/>
              <w:right w:val="single" w:sz="4" w:space="0" w:color="auto"/>
            </w:tcBorders>
            <w:vAlign w:val="center"/>
          </w:tcPr>
          <w:p w14:paraId="2C3B9D89"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3836</w:t>
            </w:r>
          </w:p>
        </w:tc>
        <w:tc>
          <w:tcPr>
            <w:tcW w:w="2326" w:type="dxa"/>
            <w:tcBorders>
              <w:top w:val="single" w:sz="4" w:space="0" w:color="auto"/>
              <w:left w:val="single" w:sz="4" w:space="0" w:color="auto"/>
              <w:bottom w:val="single" w:sz="4" w:space="0" w:color="auto"/>
              <w:right w:val="single" w:sz="4" w:space="0" w:color="auto"/>
            </w:tcBorders>
            <w:vAlign w:val="center"/>
          </w:tcPr>
          <w:p w14:paraId="06175F39"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3836</w:t>
            </w:r>
          </w:p>
        </w:tc>
        <w:tc>
          <w:tcPr>
            <w:tcW w:w="2303" w:type="dxa"/>
            <w:tcBorders>
              <w:top w:val="single" w:sz="4" w:space="0" w:color="auto"/>
              <w:left w:val="single" w:sz="4" w:space="0" w:color="auto"/>
              <w:bottom w:val="single" w:sz="4" w:space="0" w:color="auto"/>
              <w:right w:val="single" w:sz="4" w:space="0" w:color="auto"/>
            </w:tcBorders>
            <w:vAlign w:val="center"/>
          </w:tcPr>
          <w:p w14:paraId="49ACC800"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w:t>
            </w:r>
          </w:p>
        </w:tc>
      </w:tr>
      <w:tr w:rsidR="00616558" w:rsidRPr="0045498A" w14:paraId="3AB9CDC8" w14:textId="77777777">
        <w:trPr>
          <w:trHeight w:val="690"/>
        </w:trPr>
        <w:tc>
          <w:tcPr>
            <w:tcW w:w="2865" w:type="dxa"/>
            <w:tcBorders>
              <w:top w:val="single" w:sz="4" w:space="0" w:color="auto"/>
              <w:left w:val="single" w:sz="4" w:space="0" w:color="auto"/>
              <w:bottom w:val="single" w:sz="4" w:space="0" w:color="auto"/>
              <w:right w:val="single" w:sz="4" w:space="0" w:color="auto"/>
            </w:tcBorders>
            <w:vAlign w:val="center"/>
          </w:tcPr>
          <w:p w14:paraId="793091D3"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B1运</w:t>
            </w:r>
            <w:proofErr w:type="gramStart"/>
            <w:r w:rsidRPr="0045498A">
              <w:rPr>
                <w:rFonts w:ascii="宋体" w:hAnsi="宋体" w:cs="宋体" w:hint="eastAsia"/>
                <w:kern w:val="0"/>
                <w:sz w:val="24"/>
              </w:rPr>
              <w:t>维保障</w:t>
            </w:r>
            <w:proofErr w:type="gramEnd"/>
            <w:r w:rsidRPr="0045498A">
              <w:rPr>
                <w:rFonts w:ascii="宋体" w:hAnsi="宋体" w:cs="宋体" w:hint="eastAsia"/>
                <w:kern w:val="0"/>
                <w:sz w:val="24"/>
              </w:rPr>
              <w:t>中心</w:t>
            </w:r>
          </w:p>
        </w:tc>
        <w:tc>
          <w:tcPr>
            <w:tcW w:w="2150" w:type="dxa"/>
            <w:tcBorders>
              <w:top w:val="single" w:sz="4" w:space="0" w:color="auto"/>
              <w:left w:val="single" w:sz="4" w:space="0" w:color="auto"/>
              <w:bottom w:val="single" w:sz="4" w:space="0" w:color="auto"/>
              <w:right w:val="single" w:sz="4" w:space="0" w:color="auto"/>
            </w:tcBorders>
            <w:vAlign w:val="center"/>
          </w:tcPr>
          <w:p w14:paraId="57573BF8"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3</w:t>
            </w:r>
            <w:r w:rsidRPr="0045498A">
              <w:rPr>
                <w:rFonts w:ascii="宋体" w:hAnsi="宋体" w:cs="宋体"/>
                <w:kern w:val="0"/>
                <w:sz w:val="24"/>
              </w:rPr>
              <w:t>4</w:t>
            </w:r>
            <w:r w:rsidRPr="0045498A">
              <w:rPr>
                <w:rFonts w:ascii="宋体" w:hAnsi="宋体" w:cs="宋体" w:hint="eastAsia"/>
                <w:kern w:val="0"/>
                <w:sz w:val="24"/>
              </w:rPr>
              <w:t>00</w:t>
            </w:r>
          </w:p>
        </w:tc>
        <w:tc>
          <w:tcPr>
            <w:tcW w:w="2326" w:type="dxa"/>
            <w:tcBorders>
              <w:top w:val="single" w:sz="4" w:space="0" w:color="auto"/>
              <w:left w:val="single" w:sz="4" w:space="0" w:color="auto"/>
              <w:bottom w:val="single" w:sz="4" w:space="0" w:color="auto"/>
              <w:right w:val="single" w:sz="4" w:space="0" w:color="auto"/>
            </w:tcBorders>
            <w:vAlign w:val="center"/>
          </w:tcPr>
          <w:p w14:paraId="48A47DB9"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3</w:t>
            </w:r>
            <w:r w:rsidRPr="0045498A">
              <w:rPr>
                <w:rFonts w:ascii="宋体" w:hAnsi="宋体" w:cs="宋体"/>
                <w:kern w:val="0"/>
                <w:sz w:val="24"/>
              </w:rPr>
              <w:t>4</w:t>
            </w:r>
            <w:r w:rsidRPr="0045498A">
              <w:rPr>
                <w:rFonts w:ascii="宋体" w:hAnsi="宋体" w:cs="宋体" w:hint="eastAsia"/>
                <w:kern w:val="0"/>
                <w:sz w:val="24"/>
              </w:rPr>
              <w:t>00</w:t>
            </w:r>
          </w:p>
        </w:tc>
        <w:tc>
          <w:tcPr>
            <w:tcW w:w="2303" w:type="dxa"/>
            <w:tcBorders>
              <w:top w:val="single" w:sz="4" w:space="0" w:color="auto"/>
              <w:left w:val="single" w:sz="4" w:space="0" w:color="auto"/>
              <w:bottom w:val="single" w:sz="4" w:space="0" w:color="auto"/>
              <w:right w:val="single" w:sz="4" w:space="0" w:color="auto"/>
            </w:tcBorders>
            <w:vAlign w:val="center"/>
          </w:tcPr>
          <w:p w14:paraId="6977F9DF"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w:t>
            </w:r>
          </w:p>
        </w:tc>
      </w:tr>
      <w:tr w:rsidR="00616558" w:rsidRPr="0045498A" w14:paraId="0636A0F1" w14:textId="77777777">
        <w:trPr>
          <w:trHeight w:val="478"/>
        </w:trPr>
        <w:tc>
          <w:tcPr>
            <w:tcW w:w="2865" w:type="dxa"/>
            <w:tcBorders>
              <w:top w:val="single" w:sz="4" w:space="0" w:color="auto"/>
              <w:left w:val="single" w:sz="4" w:space="0" w:color="auto"/>
              <w:bottom w:val="single" w:sz="4" w:space="0" w:color="auto"/>
              <w:right w:val="single" w:sz="4" w:space="0" w:color="auto"/>
            </w:tcBorders>
            <w:vAlign w:val="center"/>
          </w:tcPr>
          <w:p w14:paraId="05184F78" w14:textId="77777777" w:rsidR="00616558" w:rsidRPr="0045498A" w:rsidRDefault="00000000">
            <w:pPr>
              <w:widowControl/>
              <w:spacing w:line="360" w:lineRule="auto"/>
              <w:jc w:val="center"/>
              <w:rPr>
                <w:rFonts w:ascii="宋体" w:hAnsi="宋体" w:cs="宋体"/>
                <w:b/>
                <w:bCs/>
                <w:kern w:val="0"/>
                <w:sz w:val="24"/>
              </w:rPr>
            </w:pPr>
            <w:r w:rsidRPr="0045498A">
              <w:rPr>
                <w:rFonts w:ascii="宋体" w:hAnsi="宋体" w:cs="宋体" w:hint="eastAsia"/>
                <w:b/>
                <w:bCs/>
                <w:kern w:val="0"/>
                <w:sz w:val="24"/>
              </w:rPr>
              <w:t>合计</w:t>
            </w:r>
          </w:p>
        </w:tc>
        <w:tc>
          <w:tcPr>
            <w:tcW w:w="2150" w:type="dxa"/>
            <w:tcBorders>
              <w:top w:val="single" w:sz="4" w:space="0" w:color="auto"/>
              <w:left w:val="single" w:sz="4" w:space="0" w:color="auto"/>
              <w:bottom w:val="single" w:sz="4" w:space="0" w:color="auto"/>
              <w:right w:val="single" w:sz="4" w:space="0" w:color="auto"/>
            </w:tcBorders>
            <w:vAlign w:val="center"/>
          </w:tcPr>
          <w:p w14:paraId="10AD71F5" w14:textId="77777777" w:rsidR="00616558" w:rsidRPr="0045498A" w:rsidRDefault="00000000">
            <w:pPr>
              <w:widowControl/>
              <w:spacing w:line="360" w:lineRule="auto"/>
              <w:jc w:val="center"/>
              <w:rPr>
                <w:rFonts w:ascii="宋体" w:hAnsi="宋体" w:cs="宋体"/>
                <w:b/>
                <w:bCs/>
                <w:kern w:val="0"/>
                <w:sz w:val="24"/>
              </w:rPr>
            </w:pPr>
            <w:r w:rsidRPr="0045498A">
              <w:rPr>
                <w:rFonts w:ascii="宋体" w:hAnsi="宋体" w:cs="宋体"/>
                <w:b/>
                <w:bCs/>
                <w:kern w:val="0"/>
                <w:sz w:val="24"/>
              </w:rPr>
              <w:t>26971</w:t>
            </w:r>
          </w:p>
        </w:tc>
        <w:tc>
          <w:tcPr>
            <w:tcW w:w="2326" w:type="dxa"/>
            <w:tcBorders>
              <w:top w:val="single" w:sz="4" w:space="0" w:color="auto"/>
              <w:left w:val="single" w:sz="4" w:space="0" w:color="auto"/>
              <w:bottom w:val="single" w:sz="4" w:space="0" w:color="auto"/>
              <w:right w:val="single" w:sz="4" w:space="0" w:color="auto"/>
            </w:tcBorders>
            <w:vAlign w:val="center"/>
          </w:tcPr>
          <w:p w14:paraId="68F982CB" w14:textId="77777777" w:rsidR="00616558" w:rsidRPr="0045498A" w:rsidRDefault="00000000">
            <w:pPr>
              <w:widowControl/>
              <w:spacing w:line="360" w:lineRule="auto"/>
              <w:jc w:val="center"/>
              <w:rPr>
                <w:rFonts w:ascii="宋体" w:hAnsi="宋体" w:cs="宋体"/>
                <w:b/>
                <w:bCs/>
                <w:kern w:val="0"/>
                <w:sz w:val="24"/>
              </w:rPr>
            </w:pPr>
            <w:r w:rsidRPr="0045498A">
              <w:rPr>
                <w:rFonts w:ascii="宋体" w:hAnsi="宋体" w:cs="宋体"/>
                <w:b/>
                <w:bCs/>
                <w:kern w:val="0"/>
                <w:sz w:val="24"/>
              </w:rPr>
              <w:t>26971</w:t>
            </w:r>
          </w:p>
        </w:tc>
        <w:tc>
          <w:tcPr>
            <w:tcW w:w="2303" w:type="dxa"/>
            <w:tcBorders>
              <w:top w:val="single" w:sz="4" w:space="0" w:color="auto"/>
              <w:left w:val="single" w:sz="4" w:space="0" w:color="auto"/>
              <w:bottom w:val="single" w:sz="4" w:space="0" w:color="auto"/>
              <w:right w:val="single" w:sz="4" w:space="0" w:color="auto"/>
            </w:tcBorders>
            <w:vAlign w:val="center"/>
          </w:tcPr>
          <w:p w14:paraId="471B87D4" w14:textId="77777777" w:rsidR="00616558" w:rsidRPr="0045498A" w:rsidRDefault="00000000">
            <w:pPr>
              <w:widowControl/>
              <w:spacing w:line="360" w:lineRule="auto"/>
              <w:jc w:val="center"/>
              <w:rPr>
                <w:rFonts w:ascii="宋体" w:hAnsi="宋体" w:cs="宋体"/>
                <w:b/>
                <w:bCs/>
                <w:kern w:val="0"/>
                <w:sz w:val="24"/>
              </w:rPr>
            </w:pPr>
            <w:r w:rsidRPr="0045498A">
              <w:rPr>
                <w:rFonts w:ascii="宋体" w:hAnsi="宋体" w:cs="宋体" w:hint="eastAsia"/>
                <w:b/>
                <w:bCs/>
                <w:kern w:val="0"/>
                <w:sz w:val="24"/>
              </w:rPr>
              <w:t>—</w:t>
            </w:r>
          </w:p>
        </w:tc>
      </w:tr>
    </w:tbl>
    <w:p w14:paraId="78C8F79E" w14:textId="77777777" w:rsidR="00616558" w:rsidRPr="0045498A" w:rsidRDefault="00000000">
      <w:pPr>
        <w:spacing w:line="360" w:lineRule="auto"/>
        <w:rPr>
          <w:rFonts w:ascii="宋体" w:hAnsi="宋体"/>
          <w:sz w:val="24"/>
        </w:rPr>
      </w:pPr>
      <w:r w:rsidRPr="0045498A">
        <w:rPr>
          <w:rFonts w:ascii="宋体" w:hAnsi="宋体" w:hint="eastAsia"/>
          <w:sz w:val="24"/>
        </w:rPr>
        <w:t>注：各单体的建筑面积可在满足可</w:t>
      </w:r>
      <w:proofErr w:type="gramStart"/>
      <w:r w:rsidRPr="0045498A">
        <w:rPr>
          <w:rFonts w:ascii="宋体" w:hAnsi="宋体" w:hint="eastAsia"/>
          <w:sz w:val="24"/>
        </w:rPr>
        <w:t>研</w:t>
      </w:r>
      <w:proofErr w:type="gramEnd"/>
      <w:r w:rsidRPr="0045498A">
        <w:rPr>
          <w:rFonts w:ascii="宋体" w:hAnsi="宋体" w:hint="eastAsia"/>
          <w:sz w:val="24"/>
        </w:rPr>
        <w:t>相关要求的情况下可进行微调。</w:t>
      </w:r>
    </w:p>
    <w:p w14:paraId="50D05FD5" w14:textId="77777777" w:rsidR="00616558" w:rsidRPr="0045498A" w:rsidRDefault="00616558">
      <w:pPr>
        <w:snapToGrid w:val="0"/>
        <w:spacing w:line="360" w:lineRule="auto"/>
        <w:ind w:firstLineChars="200" w:firstLine="480"/>
        <w:rPr>
          <w:rFonts w:ascii="宋体" w:hAnsi="宋体"/>
          <w:sz w:val="24"/>
        </w:rPr>
      </w:pPr>
    </w:p>
    <w:p w14:paraId="64F95CE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具体专业设计以满足消防验收为准，包括但不限于以下内容：</w:t>
      </w:r>
    </w:p>
    <w:p w14:paraId="43E5DCA8" w14:textId="1E081DA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w:t>
      </w:r>
      <w:r w:rsidRPr="0045498A">
        <w:rPr>
          <w:rFonts w:ascii="宋体" w:hAnsi="宋体" w:hint="eastAsia"/>
          <w:sz w:val="24"/>
        </w:rPr>
        <w:t>A2通信机楼</w:t>
      </w:r>
      <w:r w:rsidRPr="0045498A">
        <w:rPr>
          <w:rFonts w:ascii="宋体" w:hAnsi="宋体"/>
          <w:sz w:val="24"/>
        </w:rPr>
        <w:t>：建筑及结构工程、桩基工程、</w:t>
      </w:r>
      <w:r w:rsidR="000E738D">
        <w:rPr>
          <w:rFonts w:ascii="宋体" w:hAnsi="宋体" w:hint="eastAsia"/>
          <w:sz w:val="24"/>
        </w:rPr>
        <w:t>通信工艺工程、</w:t>
      </w:r>
      <w:r w:rsidRPr="0045498A">
        <w:rPr>
          <w:rFonts w:ascii="宋体" w:hAnsi="宋体"/>
          <w:sz w:val="24"/>
        </w:rPr>
        <w:t>外</w:t>
      </w:r>
      <w:r w:rsidRPr="0045498A">
        <w:rPr>
          <w:rFonts w:ascii="宋体" w:hAnsi="宋体" w:hint="eastAsia"/>
          <w:sz w:val="24"/>
        </w:rPr>
        <w:t>立面</w:t>
      </w:r>
      <w:r w:rsidRPr="0045498A">
        <w:rPr>
          <w:rFonts w:ascii="宋体" w:hAnsi="宋体"/>
          <w:sz w:val="24"/>
        </w:rPr>
        <w:t>装饰工程、室内装饰工程（不含机房地面装</w:t>
      </w:r>
      <w:r w:rsidRPr="0045498A">
        <w:rPr>
          <w:rFonts w:ascii="宋体" w:hAnsi="宋体" w:hint="eastAsia"/>
          <w:sz w:val="24"/>
        </w:rPr>
        <w:t>饰</w:t>
      </w:r>
      <w:r w:rsidRPr="0045498A">
        <w:rPr>
          <w:rFonts w:ascii="宋体" w:hAnsi="宋体"/>
          <w:sz w:val="24"/>
        </w:rPr>
        <w:t>）、建筑给排水工程、水消防系统、气体消防系统、建筑电气工程、火灾自动报警</w:t>
      </w:r>
      <w:r w:rsidRPr="0045498A">
        <w:rPr>
          <w:rFonts w:ascii="宋体" w:hAnsi="宋体" w:hint="eastAsia"/>
          <w:sz w:val="24"/>
        </w:rPr>
        <w:t>系统</w:t>
      </w:r>
      <w:r w:rsidRPr="0045498A">
        <w:rPr>
          <w:rFonts w:ascii="宋体" w:hAnsi="宋体"/>
          <w:sz w:val="24"/>
        </w:rPr>
        <w:t>、通风防排烟、建筑智能化</w:t>
      </w:r>
      <w:r w:rsidRPr="0045498A">
        <w:rPr>
          <w:rFonts w:ascii="宋体" w:hAnsi="宋体" w:hint="eastAsia"/>
          <w:sz w:val="24"/>
        </w:rPr>
        <w:t>（管道预埋）</w:t>
      </w:r>
      <w:r w:rsidRPr="0045498A">
        <w:rPr>
          <w:rFonts w:ascii="宋体" w:hAnsi="宋体"/>
          <w:sz w:val="24"/>
        </w:rPr>
        <w:t>、电梯工程、空调主管道工程、舒适性空调等。</w:t>
      </w:r>
    </w:p>
    <w:p w14:paraId="644EFE42" w14:textId="10293501"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w:t>
      </w:r>
      <w:r w:rsidRPr="0045498A">
        <w:rPr>
          <w:rFonts w:ascii="宋体" w:hAnsi="宋体"/>
          <w:sz w:val="24"/>
        </w:rPr>
        <w:t>）</w:t>
      </w:r>
      <w:r w:rsidRPr="0045498A">
        <w:rPr>
          <w:rFonts w:ascii="宋体" w:hAnsi="宋体" w:hint="eastAsia"/>
          <w:sz w:val="24"/>
        </w:rPr>
        <w:t>C</w:t>
      </w:r>
      <w:r w:rsidRPr="0045498A">
        <w:rPr>
          <w:rFonts w:ascii="宋体" w:hAnsi="宋体"/>
          <w:sz w:val="24"/>
        </w:rPr>
        <w:t>1动力中心：建筑及结构工程、桩基工程、</w:t>
      </w:r>
      <w:r w:rsidR="000E738D">
        <w:rPr>
          <w:rFonts w:ascii="宋体" w:hAnsi="宋体" w:hint="eastAsia"/>
          <w:sz w:val="24"/>
        </w:rPr>
        <w:t>通信工艺工程、</w:t>
      </w:r>
      <w:r w:rsidRPr="0045498A">
        <w:rPr>
          <w:rFonts w:ascii="宋体" w:hAnsi="宋体"/>
          <w:sz w:val="24"/>
        </w:rPr>
        <w:t>外</w:t>
      </w:r>
      <w:r w:rsidRPr="0045498A">
        <w:rPr>
          <w:rFonts w:ascii="宋体" w:hAnsi="宋体" w:hint="eastAsia"/>
          <w:sz w:val="24"/>
        </w:rPr>
        <w:t>立面</w:t>
      </w:r>
      <w:r w:rsidRPr="0045498A">
        <w:rPr>
          <w:rFonts w:ascii="宋体" w:hAnsi="宋体"/>
          <w:sz w:val="24"/>
        </w:rPr>
        <w:t>装饰工程、室内装饰工程、建筑给排水工程、水消防系统、气体消防系统、建筑电气工程、火灾自动报警</w:t>
      </w:r>
      <w:r w:rsidRPr="0045498A">
        <w:rPr>
          <w:rFonts w:ascii="宋体" w:hAnsi="宋体" w:hint="eastAsia"/>
          <w:sz w:val="24"/>
        </w:rPr>
        <w:t>系统</w:t>
      </w:r>
      <w:r w:rsidRPr="0045498A">
        <w:rPr>
          <w:rFonts w:ascii="宋体" w:hAnsi="宋体"/>
          <w:sz w:val="24"/>
        </w:rPr>
        <w:t>、通风防排烟、建筑智能化</w:t>
      </w:r>
      <w:r w:rsidRPr="0045498A">
        <w:rPr>
          <w:rFonts w:ascii="宋体" w:hAnsi="宋体" w:hint="eastAsia"/>
          <w:sz w:val="24"/>
        </w:rPr>
        <w:t>（管道预埋）、消防水泵房和空调水泵房设备</w:t>
      </w:r>
      <w:r w:rsidRPr="0045498A">
        <w:rPr>
          <w:rFonts w:ascii="宋体" w:hAnsi="宋体"/>
          <w:sz w:val="24"/>
        </w:rPr>
        <w:t>等。</w:t>
      </w:r>
    </w:p>
    <w:p w14:paraId="457D130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w:t>
      </w:r>
      <w:r w:rsidRPr="0045498A">
        <w:rPr>
          <w:rFonts w:ascii="宋体" w:hAnsi="宋体"/>
          <w:sz w:val="24"/>
        </w:rPr>
        <w:t>）B1运</w:t>
      </w:r>
      <w:proofErr w:type="gramStart"/>
      <w:r w:rsidRPr="0045498A">
        <w:rPr>
          <w:rFonts w:ascii="宋体" w:hAnsi="宋体"/>
          <w:sz w:val="24"/>
        </w:rPr>
        <w:t>维保障</w:t>
      </w:r>
      <w:proofErr w:type="gramEnd"/>
      <w:r w:rsidRPr="0045498A">
        <w:rPr>
          <w:rFonts w:ascii="宋体" w:hAnsi="宋体" w:hint="eastAsia"/>
          <w:sz w:val="24"/>
        </w:rPr>
        <w:t>中心</w:t>
      </w:r>
      <w:r w:rsidRPr="0045498A">
        <w:rPr>
          <w:rFonts w:ascii="宋体" w:hAnsi="宋体"/>
          <w:sz w:val="24"/>
        </w:rPr>
        <w:t>：</w:t>
      </w:r>
      <w:r w:rsidRPr="0045498A">
        <w:rPr>
          <w:rFonts w:ascii="宋体" w:hAnsi="宋体" w:hint="eastAsia"/>
          <w:sz w:val="24"/>
        </w:rPr>
        <w:t>地上土建工程</w:t>
      </w:r>
      <w:r w:rsidRPr="0045498A">
        <w:rPr>
          <w:rFonts w:ascii="宋体" w:hAnsi="宋体"/>
          <w:sz w:val="24"/>
        </w:rPr>
        <w:t>、</w:t>
      </w:r>
      <w:r w:rsidRPr="0045498A">
        <w:rPr>
          <w:rFonts w:ascii="宋体" w:hAnsi="宋体" w:hint="eastAsia"/>
          <w:sz w:val="24"/>
        </w:rPr>
        <w:t>基础</w:t>
      </w:r>
      <w:r w:rsidRPr="0045498A">
        <w:rPr>
          <w:rFonts w:ascii="宋体" w:hAnsi="宋体"/>
          <w:sz w:val="24"/>
        </w:rPr>
        <w:t>工程、外</w:t>
      </w:r>
      <w:r w:rsidRPr="0045498A">
        <w:rPr>
          <w:rFonts w:ascii="宋体" w:hAnsi="宋体" w:hint="eastAsia"/>
          <w:sz w:val="24"/>
        </w:rPr>
        <w:t>立面</w:t>
      </w:r>
      <w:r w:rsidRPr="0045498A">
        <w:rPr>
          <w:rFonts w:ascii="宋体" w:hAnsi="宋体"/>
          <w:sz w:val="24"/>
        </w:rPr>
        <w:t>装饰工程、室内装饰工程、给排水工程、水消防系统、气体消防系统（</w:t>
      </w:r>
      <w:proofErr w:type="gramStart"/>
      <w:r w:rsidRPr="0045498A">
        <w:rPr>
          <w:rFonts w:ascii="宋体" w:hAnsi="宋体"/>
          <w:sz w:val="24"/>
        </w:rPr>
        <w:t>电房区域</w:t>
      </w:r>
      <w:proofErr w:type="gramEnd"/>
      <w:r w:rsidRPr="0045498A">
        <w:rPr>
          <w:rFonts w:ascii="宋体" w:hAnsi="宋体"/>
          <w:sz w:val="24"/>
        </w:rPr>
        <w:t>）、电气工程、高低压配电、火灾自动报警工程、通风防排烟</w:t>
      </w:r>
      <w:r w:rsidRPr="0045498A">
        <w:rPr>
          <w:rFonts w:ascii="宋体" w:hAnsi="宋体" w:hint="eastAsia"/>
          <w:sz w:val="24"/>
        </w:rPr>
        <w:t>工程</w:t>
      </w:r>
      <w:r w:rsidRPr="0045498A">
        <w:rPr>
          <w:rFonts w:ascii="宋体" w:hAnsi="宋体"/>
          <w:sz w:val="24"/>
        </w:rPr>
        <w:t>、集中空调、建筑智能化</w:t>
      </w:r>
      <w:r w:rsidRPr="0045498A">
        <w:rPr>
          <w:rFonts w:ascii="宋体" w:hAnsi="宋体" w:hint="eastAsia"/>
          <w:sz w:val="24"/>
        </w:rPr>
        <w:t>（管道预埋）</w:t>
      </w:r>
      <w:r w:rsidRPr="0045498A">
        <w:rPr>
          <w:rFonts w:ascii="宋体" w:hAnsi="宋体"/>
          <w:sz w:val="24"/>
        </w:rPr>
        <w:t>、电梯工程</w:t>
      </w:r>
      <w:r w:rsidRPr="0045498A">
        <w:rPr>
          <w:rFonts w:ascii="宋体" w:hAnsi="宋体" w:hint="eastAsia"/>
          <w:sz w:val="24"/>
        </w:rPr>
        <w:t>、生活泵房设备、油机工程</w:t>
      </w:r>
      <w:r w:rsidRPr="0045498A">
        <w:rPr>
          <w:rFonts w:ascii="宋体" w:hAnsi="宋体"/>
          <w:sz w:val="24"/>
        </w:rPr>
        <w:t>等。</w:t>
      </w:r>
    </w:p>
    <w:p w14:paraId="6A4FC05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4</w:t>
      </w:r>
      <w:r w:rsidRPr="0045498A">
        <w:rPr>
          <w:rFonts w:ascii="宋体" w:hAnsi="宋体"/>
          <w:sz w:val="24"/>
        </w:rPr>
        <w:t>）室外工程：土方平衡、室外围墙</w:t>
      </w:r>
      <w:r w:rsidRPr="0045498A">
        <w:rPr>
          <w:rFonts w:ascii="宋体" w:hAnsi="宋体" w:hint="eastAsia"/>
          <w:sz w:val="24"/>
        </w:rPr>
        <w:t>、临时围墙、</w:t>
      </w:r>
      <w:r w:rsidRPr="0045498A">
        <w:rPr>
          <w:rFonts w:ascii="宋体" w:hAnsi="宋体"/>
          <w:sz w:val="24"/>
        </w:rPr>
        <w:t>室外硬化工程、室外广场铺地工程、普通草坪、景观绿地、</w:t>
      </w:r>
      <w:r w:rsidRPr="0045498A">
        <w:rPr>
          <w:rFonts w:ascii="宋体" w:hAnsi="宋体" w:hint="eastAsia"/>
          <w:sz w:val="24"/>
        </w:rPr>
        <w:t>门卫室、</w:t>
      </w:r>
      <w:r w:rsidRPr="0045498A">
        <w:rPr>
          <w:rFonts w:ascii="宋体" w:hAnsi="宋体"/>
          <w:sz w:val="24"/>
        </w:rPr>
        <w:t>室外油罐建筑工程、室外电气照明工程、室外综合管网工程、室外综合管线支护工程、室外智能工程</w:t>
      </w:r>
      <w:r w:rsidRPr="0045498A">
        <w:rPr>
          <w:rFonts w:ascii="宋体" w:hAnsi="宋体" w:hint="eastAsia"/>
          <w:sz w:val="24"/>
        </w:rPr>
        <w:t>（管道预埋）</w:t>
      </w:r>
      <w:r w:rsidRPr="0045498A">
        <w:rPr>
          <w:rFonts w:ascii="宋体" w:hAnsi="宋体"/>
          <w:sz w:val="24"/>
        </w:rPr>
        <w:t>、电力及通信管道工程、</w:t>
      </w:r>
      <w:r w:rsidRPr="0045498A">
        <w:rPr>
          <w:rFonts w:ascii="宋体" w:hAnsi="宋体" w:hint="eastAsia"/>
          <w:sz w:val="24"/>
        </w:rPr>
        <w:t>室外空调管道、</w:t>
      </w:r>
      <w:r w:rsidRPr="0045498A">
        <w:rPr>
          <w:rFonts w:ascii="宋体" w:hAnsi="宋体"/>
          <w:sz w:val="24"/>
        </w:rPr>
        <w:t>雨水蓄水池</w:t>
      </w:r>
      <w:r w:rsidRPr="0045498A">
        <w:rPr>
          <w:rFonts w:ascii="宋体" w:hAnsi="宋体" w:hint="eastAsia"/>
          <w:sz w:val="24"/>
        </w:rPr>
        <w:t>及基坑</w:t>
      </w:r>
      <w:r w:rsidRPr="0045498A">
        <w:rPr>
          <w:rFonts w:ascii="宋体" w:hAnsi="宋体"/>
          <w:sz w:val="24"/>
        </w:rPr>
        <w:t>、</w:t>
      </w:r>
      <w:r w:rsidRPr="0045498A">
        <w:rPr>
          <w:rFonts w:ascii="宋体" w:hAnsi="宋体" w:hint="eastAsia"/>
          <w:sz w:val="24"/>
        </w:rPr>
        <w:t>临时用水用电接驳工程、市政配套接驳工程</w:t>
      </w:r>
      <w:r w:rsidRPr="0045498A">
        <w:rPr>
          <w:rFonts w:ascii="宋体" w:hAnsi="宋体"/>
          <w:sz w:val="24"/>
        </w:rPr>
        <w:t>等。</w:t>
      </w:r>
    </w:p>
    <w:bookmarkEnd w:id="3"/>
    <w:p w14:paraId="1092D0C8" w14:textId="77777777" w:rsidR="00616558" w:rsidRPr="0045498A" w:rsidRDefault="00000000">
      <w:pPr>
        <w:pStyle w:val="2"/>
        <w:spacing w:before="0" w:after="0"/>
        <w:rPr>
          <w:rFonts w:ascii="宋体" w:hAnsi="宋体"/>
          <w:color w:val="auto"/>
          <w:sz w:val="24"/>
          <w:szCs w:val="24"/>
        </w:rPr>
      </w:pPr>
      <w:r w:rsidRPr="0045498A">
        <w:rPr>
          <w:rFonts w:ascii="宋体" w:hAnsi="宋体"/>
          <w:color w:val="auto"/>
          <w:sz w:val="24"/>
          <w:szCs w:val="24"/>
        </w:rPr>
        <w:t>工程</w:t>
      </w:r>
      <w:r w:rsidRPr="0045498A">
        <w:rPr>
          <w:rFonts w:ascii="宋体" w:hAnsi="宋体" w:hint="eastAsia"/>
          <w:color w:val="auto"/>
          <w:sz w:val="24"/>
          <w:szCs w:val="24"/>
        </w:rPr>
        <w:t>施工</w:t>
      </w:r>
      <w:r w:rsidRPr="0045498A">
        <w:rPr>
          <w:rFonts w:ascii="宋体" w:hAnsi="宋体"/>
          <w:color w:val="auto"/>
          <w:sz w:val="24"/>
          <w:szCs w:val="24"/>
        </w:rPr>
        <w:t>范围</w:t>
      </w:r>
    </w:p>
    <w:p w14:paraId="6B602FD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工程施工范围详见招标公告及合同内容。</w:t>
      </w:r>
    </w:p>
    <w:p w14:paraId="64184B3B" w14:textId="77777777" w:rsidR="00616558" w:rsidRPr="0045498A" w:rsidRDefault="00000000" w:rsidP="00C62299">
      <w:pPr>
        <w:pStyle w:val="10"/>
        <w:spacing w:before="0" w:after="0" w:line="360" w:lineRule="auto"/>
        <w:ind w:left="425"/>
        <w:rPr>
          <w:rFonts w:ascii="宋体" w:eastAsia="宋体" w:hAnsi="宋体"/>
          <w:sz w:val="24"/>
          <w:szCs w:val="24"/>
        </w:rPr>
      </w:pPr>
      <w:bookmarkStart w:id="4" w:name="第二部分_总承包管理要求"/>
      <w:bookmarkStart w:id="5" w:name="三、质量要求"/>
      <w:bookmarkStart w:id="6" w:name="_Toc97762482"/>
      <w:bookmarkEnd w:id="4"/>
      <w:bookmarkEnd w:id="5"/>
      <w:r w:rsidRPr="0045498A">
        <w:rPr>
          <w:rFonts w:ascii="宋体" w:eastAsia="宋体" w:hAnsi="宋体" w:hint="eastAsia"/>
          <w:sz w:val="24"/>
          <w:szCs w:val="24"/>
        </w:rPr>
        <w:t>.</w:t>
      </w:r>
      <w:r w:rsidRPr="0045498A">
        <w:rPr>
          <w:rFonts w:ascii="宋体" w:eastAsia="宋体" w:hAnsi="宋体"/>
          <w:sz w:val="24"/>
          <w:szCs w:val="24"/>
        </w:rPr>
        <w:t>总承包管理要求</w:t>
      </w:r>
      <w:bookmarkEnd w:id="6"/>
    </w:p>
    <w:p w14:paraId="130B07A7" w14:textId="77777777" w:rsidR="00616558" w:rsidRPr="0045498A" w:rsidRDefault="00000000">
      <w:pPr>
        <w:pStyle w:val="2"/>
        <w:spacing w:before="0" w:after="0"/>
        <w:rPr>
          <w:rFonts w:ascii="宋体" w:hAnsi="宋体"/>
          <w:color w:val="auto"/>
          <w:sz w:val="24"/>
          <w:szCs w:val="24"/>
        </w:rPr>
      </w:pPr>
      <w:bookmarkStart w:id="7" w:name="一、总承包管理的目标"/>
      <w:bookmarkEnd w:id="7"/>
      <w:r w:rsidRPr="0045498A">
        <w:rPr>
          <w:rFonts w:ascii="宋体" w:hAnsi="宋体" w:hint="eastAsia"/>
          <w:color w:val="auto"/>
          <w:sz w:val="24"/>
          <w:szCs w:val="24"/>
        </w:rPr>
        <w:t>管理目标</w:t>
      </w:r>
    </w:p>
    <w:p w14:paraId="293156C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投标人应对承包范围内工程的质量、安全、工期和造价等全面负责，总承包管理具体目标包括并不限于下列：</w:t>
      </w:r>
    </w:p>
    <w:p w14:paraId="64D9EFB8"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1、设计要求的质量标准</w:t>
      </w:r>
    </w:p>
    <w:p w14:paraId="17CE5C3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符合国家现行设计规范、规程、规定等，满足招标人要求，并顺利通过相关部门审批。</w:t>
      </w:r>
    </w:p>
    <w:p w14:paraId="62B51CF9"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2、施工要求的质量标准：</w:t>
      </w:r>
    </w:p>
    <w:p w14:paraId="5925589E" w14:textId="1F6A0E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房屋建筑工程质量标准：</w:t>
      </w:r>
      <w:r w:rsidRPr="0045498A">
        <w:rPr>
          <w:rFonts w:ascii="宋体" w:hAnsi="宋体" w:hint="eastAsia"/>
          <w:sz w:val="24"/>
        </w:rPr>
        <w:t>达到合格或以上标准</w:t>
      </w:r>
      <w:r w:rsidRPr="0045498A">
        <w:rPr>
          <w:rFonts w:ascii="宋体" w:hAnsi="宋体"/>
          <w:sz w:val="24"/>
        </w:rPr>
        <w:t>。</w:t>
      </w:r>
    </w:p>
    <w:p w14:paraId="08C58F47" w14:textId="77777777" w:rsidR="00616558" w:rsidRPr="0045498A" w:rsidRDefault="00000000">
      <w:pPr>
        <w:snapToGrid w:val="0"/>
        <w:spacing w:line="360" w:lineRule="auto"/>
        <w:ind w:firstLineChars="200" w:firstLine="482"/>
        <w:rPr>
          <w:rFonts w:ascii="宋体" w:hAnsi="宋体"/>
          <w:sz w:val="24"/>
        </w:rPr>
      </w:pPr>
      <w:r w:rsidRPr="0045498A">
        <w:rPr>
          <w:rFonts w:ascii="宋体" w:hAnsi="宋体" w:hint="eastAsia"/>
          <w:b/>
          <w:bCs/>
          <w:sz w:val="24"/>
        </w:rPr>
        <w:t>3、进度目标</w:t>
      </w:r>
      <w:r w:rsidRPr="0045498A">
        <w:rPr>
          <w:rFonts w:ascii="宋体" w:hAnsi="宋体" w:hint="eastAsia"/>
          <w:sz w:val="24"/>
        </w:rPr>
        <w:t>：</w:t>
      </w:r>
    </w:p>
    <w:p w14:paraId="1E163D2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严格按照工期要求完成工程建设，包括节点工期目标的完成。</w:t>
      </w:r>
    </w:p>
    <w:p w14:paraId="5635015F"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 xml:space="preserve">4、安全管理目标： </w:t>
      </w:r>
    </w:p>
    <w:p w14:paraId="4A826B2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履行建设管理中的安全生产管理职责，杜绝发生重大的安全生产事故与重大生产质量事故。</w:t>
      </w:r>
    </w:p>
    <w:p w14:paraId="0856C378" w14:textId="77777777" w:rsidR="00616558" w:rsidRPr="0045498A" w:rsidRDefault="00000000">
      <w:pPr>
        <w:pStyle w:val="2"/>
        <w:spacing w:before="0" w:after="0"/>
        <w:rPr>
          <w:rFonts w:ascii="宋体" w:hAnsi="宋体"/>
          <w:color w:val="auto"/>
          <w:sz w:val="24"/>
          <w:szCs w:val="24"/>
        </w:rPr>
      </w:pPr>
      <w:bookmarkStart w:id="8" w:name="二、总承包管理的责任"/>
      <w:bookmarkEnd w:id="8"/>
      <w:r w:rsidRPr="0045498A">
        <w:rPr>
          <w:rFonts w:ascii="宋体" w:hAnsi="宋体"/>
          <w:color w:val="auto"/>
          <w:sz w:val="24"/>
          <w:szCs w:val="24"/>
        </w:rPr>
        <w:t>管理责任</w:t>
      </w:r>
    </w:p>
    <w:p w14:paraId="03957A76" w14:textId="77777777" w:rsidR="00616558" w:rsidRPr="0045498A" w:rsidRDefault="00000000">
      <w:pPr>
        <w:snapToGrid w:val="0"/>
        <w:spacing w:line="360" w:lineRule="auto"/>
        <w:ind w:firstLineChars="200" w:firstLine="480"/>
        <w:rPr>
          <w:rFonts w:ascii="宋体" w:hAnsi="宋体"/>
          <w:bCs/>
          <w:sz w:val="24"/>
        </w:rPr>
      </w:pPr>
      <w:r w:rsidRPr="0045498A">
        <w:rPr>
          <w:rFonts w:ascii="宋体" w:hAnsi="宋体" w:hint="eastAsia"/>
          <w:bCs/>
          <w:sz w:val="24"/>
        </w:rPr>
        <w:t>工期、质量、文明施工、安全管理等责任按照合同相关条款。</w:t>
      </w:r>
    </w:p>
    <w:p w14:paraId="1887A642" w14:textId="77777777" w:rsidR="00616558" w:rsidRPr="0045498A" w:rsidRDefault="00000000">
      <w:pPr>
        <w:pStyle w:val="2"/>
        <w:spacing w:before="0" w:after="0"/>
        <w:rPr>
          <w:rFonts w:ascii="宋体" w:hAnsi="宋体"/>
          <w:color w:val="auto"/>
          <w:sz w:val="24"/>
          <w:szCs w:val="24"/>
        </w:rPr>
      </w:pPr>
      <w:bookmarkStart w:id="9" w:name="三、总承包管理的机构"/>
      <w:bookmarkEnd w:id="9"/>
      <w:r w:rsidRPr="0045498A">
        <w:rPr>
          <w:rFonts w:ascii="宋体" w:hAnsi="宋体"/>
          <w:color w:val="auto"/>
          <w:sz w:val="24"/>
          <w:szCs w:val="24"/>
        </w:rPr>
        <w:t>管理机构</w:t>
      </w:r>
    </w:p>
    <w:p w14:paraId="2701FDF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w:t>
      </w:r>
      <w:r w:rsidRPr="0045498A">
        <w:rPr>
          <w:rFonts w:ascii="宋体" w:hAnsi="宋体"/>
          <w:sz w:val="24"/>
        </w:rPr>
        <w:t>投标人应根据《建设工程项目管理规范》（GB/T50326-2006）和《建设项目工程总承包管理规范》（GB/T50358），结合项目特点设置以项目经理为第一责任人的总承包管理机构，总承包管理组织机构设置应合理高效，岗位职责应清晰明确，管理人员配置</w:t>
      </w:r>
      <w:proofErr w:type="gramStart"/>
      <w:r w:rsidRPr="0045498A">
        <w:rPr>
          <w:rFonts w:ascii="宋体" w:hAnsi="宋体"/>
          <w:sz w:val="24"/>
        </w:rPr>
        <w:t>应专业</w:t>
      </w:r>
      <w:proofErr w:type="gramEnd"/>
      <w:r w:rsidRPr="0045498A">
        <w:rPr>
          <w:rFonts w:ascii="宋体" w:hAnsi="宋体"/>
          <w:sz w:val="24"/>
        </w:rPr>
        <w:t>齐全</w:t>
      </w:r>
      <w:r w:rsidRPr="0045498A">
        <w:rPr>
          <w:rFonts w:ascii="宋体" w:hAnsi="宋体" w:hint="eastAsia"/>
          <w:sz w:val="24"/>
        </w:rPr>
        <w:t>。</w:t>
      </w:r>
    </w:p>
    <w:p w14:paraId="12785A8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2、联合体投标的，应根据联合体分工，由联合体各成员单位分别配备专业人员。</w:t>
      </w:r>
    </w:p>
    <w:p w14:paraId="2E359B33" w14:textId="77777777" w:rsidR="00616558" w:rsidRPr="0045498A" w:rsidRDefault="00000000" w:rsidP="00C62299">
      <w:pPr>
        <w:pStyle w:val="10"/>
        <w:spacing w:before="0" w:after="0" w:line="360" w:lineRule="auto"/>
        <w:ind w:left="425"/>
        <w:rPr>
          <w:rFonts w:ascii="宋体" w:eastAsia="宋体" w:hAnsi="宋体"/>
          <w:sz w:val="24"/>
          <w:szCs w:val="24"/>
        </w:rPr>
      </w:pPr>
      <w:bookmarkStart w:id="10" w:name="（一）总则"/>
      <w:bookmarkStart w:id="11" w:name="四、总承包管理的内容"/>
      <w:bookmarkStart w:id="12" w:name="（二）设计总承包管理的内容"/>
      <w:bookmarkEnd w:id="10"/>
      <w:bookmarkEnd w:id="11"/>
      <w:bookmarkEnd w:id="12"/>
      <w:r w:rsidRPr="0045498A">
        <w:rPr>
          <w:rFonts w:ascii="宋体" w:eastAsia="宋体" w:hAnsi="宋体" w:hint="eastAsia"/>
          <w:sz w:val="24"/>
          <w:szCs w:val="24"/>
        </w:rPr>
        <w:lastRenderedPageBreak/>
        <w:t>.</w:t>
      </w:r>
      <w:r w:rsidRPr="0045498A">
        <w:rPr>
          <w:rFonts w:ascii="宋体" w:eastAsia="宋体" w:hAnsi="宋体"/>
          <w:sz w:val="24"/>
          <w:szCs w:val="24"/>
        </w:rPr>
        <w:t>设计</w:t>
      </w:r>
      <w:r w:rsidRPr="0045498A">
        <w:rPr>
          <w:rFonts w:ascii="宋体" w:eastAsia="宋体" w:hAnsi="宋体" w:hint="eastAsia"/>
          <w:sz w:val="24"/>
          <w:szCs w:val="24"/>
        </w:rPr>
        <w:t>要求</w:t>
      </w:r>
    </w:p>
    <w:p w14:paraId="598FC92B"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设计原则</w:t>
      </w:r>
    </w:p>
    <w:p w14:paraId="7C25680F" w14:textId="77777777" w:rsidR="00616558" w:rsidRPr="0045498A" w:rsidRDefault="00000000" w:rsidP="00C62299">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园区规划原则</w:t>
      </w:r>
    </w:p>
    <w:p w14:paraId="421607C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具体园区规划要满足可</w:t>
      </w:r>
      <w:proofErr w:type="gramStart"/>
      <w:r w:rsidRPr="0045498A">
        <w:rPr>
          <w:rFonts w:ascii="宋体" w:hAnsi="宋体" w:hint="eastAsia"/>
          <w:sz w:val="24"/>
        </w:rPr>
        <w:t>研</w:t>
      </w:r>
      <w:proofErr w:type="gramEnd"/>
      <w:r w:rsidRPr="0045498A">
        <w:rPr>
          <w:rFonts w:ascii="宋体" w:hAnsi="宋体" w:hint="eastAsia"/>
          <w:sz w:val="24"/>
        </w:rPr>
        <w:t>报告的相关要求。</w:t>
      </w:r>
    </w:p>
    <w:p w14:paraId="6236232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园区建设应满足功能需求、运营和管理需求、交通需求、分期发展需求，因地制宜地合理安排各功能空间，提出总体规划布局。</w:t>
      </w:r>
    </w:p>
    <w:p w14:paraId="51EF8DA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园区规划</w:t>
      </w:r>
      <w:proofErr w:type="gramStart"/>
      <w:r w:rsidRPr="0045498A">
        <w:rPr>
          <w:rFonts w:ascii="宋体" w:hAnsi="宋体" w:hint="eastAsia"/>
          <w:sz w:val="24"/>
        </w:rPr>
        <w:t>应功能</w:t>
      </w:r>
      <w:proofErr w:type="gramEnd"/>
      <w:r w:rsidRPr="0045498A">
        <w:rPr>
          <w:rFonts w:ascii="宋体" w:hAnsi="宋体" w:hint="eastAsia"/>
          <w:sz w:val="24"/>
        </w:rPr>
        <w:t>完善，分区清晰，且又易于运营。</w:t>
      </w:r>
    </w:p>
    <w:p w14:paraId="6E19E42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合理规划园区内交通组织，内外人流、车流与物流合理分流，防止交叉干扰，利于消防、停车和人员集散。</w:t>
      </w:r>
    </w:p>
    <w:p w14:paraId="7252BDF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园区内道路能满足铰链车和大型消防车通行要求，路面承重按照能满足40吨重载车辆的通行要求。</w:t>
      </w:r>
    </w:p>
    <w:p w14:paraId="6B4F0BF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应统一规划园区通信网络、供电、给水、排水、供热等室外管线，并与建筑单体和道路分期建设有很好的衔接。合理安排变电站的位置。</w:t>
      </w:r>
    </w:p>
    <w:p w14:paraId="5289FA9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园区市电引入应为双路由，具备从不同方向进入园区的条件。</w:t>
      </w:r>
    </w:p>
    <w:p w14:paraId="125F24D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园区主干通信管道引入应具备两个及以上物理路由。应按照终期通信数据传输规模建设并与园区红线外市政主干通信管道相连接。</w:t>
      </w:r>
    </w:p>
    <w:p w14:paraId="6714DF2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园区型通信机楼应根据建设规模合理选择消防报警系统形式，</w:t>
      </w:r>
      <w:proofErr w:type="gramStart"/>
      <w:r w:rsidRPr="0045498A">
        <w:rPr>
          <w:rFonts w:ascii="宋体" w:hAnsi="宋体" w:hint="eastAsia"/>
          <w:sz w:val="24"/>
        </w:rPr>
        <w:t>消控室位置</w:t>
      </w:r>
      <w:proofErr w:type="gramEnd"/>
      <w:r w:rsidRPr="0045498A">
        <w:rPr>
          <w:rFonts w:ascii="宋体" w:hAnsi="宋体" w:hint="eastAsia"/>
          <w:sz w:val="24"/>
        </w:rPr>
        <w:t>的选择要考虑到后期系统运维的便捷性及缩短响应时间。园区原则上设置1个</w:t>
      </w:r>
      <w:proofErr w:type="gramStart"/>
      <w:r w:rsidRPr="0045498A">
        <w:rPr>
          <w:rFonts w:ascii="宋体" w:hAnsi="宋体" w:hint="eastAsia"/>
          <w:sz w:val="24"/>
        </w:rPr>
        <w:t>集中消控室</w:t>
      </w:r>
      <w:proofErr w:type="gramEnd"/>
      <w:r w:rsidRPr="0045498A">
        <w:rPr>
          <w:rFonts w:ascii="宋体" w:hAnsi="宋体" w:hint="eastAsia"/>
          <w:sz w:val="24"/>
        </w:rPr>
        <w:t>，每栋</w:t>
      </w:r>
      <w:proofErr w:type="gramStart"/>
      <w:r w:rsidRPr="0045498A">
        <w:rPr>
          <w:rFonts w:ascii="宋体" w:hAnsi="宋体" w:hint="eastAsia"/>
          <w:sz w:val="24"/>
        </w:rPr>
        <w:t>机房楼</w:t>
      </w:r>
      <w:proofErr w:type="gramEnd"/>
      <w:r w:rsidRPr="0045498A">
        <w:rPr>
          <w:rFonts w:ascii="宋体" w:hAnsi="宋体" w:hint="eastAsia"/>
          <w:sz w:val="24"/>
        </w:rPr>
        <w:t>的消防报警系统的接入层、 现场设备层均不配置值班人员。</w:t>
      </w:r>
    </w:p>
    <w:p w14:paraId="26C120C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应满足规划确定的海绵城市、绿色建筑等其他技术要求，合理考虑雨水调蓄水池及下凹绿地、渗透路面等的规划。</w:t>
      </w:r>
    </w:p>
    <w:p w14:paraId="5A141F34" w14:textId="77777777" w:rsidR="00616558" w:rsidRPr="0045498A" w:rsidRDefault="00000000" w:rsidP="00C62299">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方案设计原则</w:t>
      </w:r>
    </w:p>
    <w:p w14:paraId="50FDF9B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具体方案设计要满足可</w:t>
      </w:r>
      <w:proofErr w:type="gramStart"/>
      <w:r w:rsidRPr="0045498A">
        <w:rPr>
          <w:rFonts w:ascii="宋体" w:hAnsi="宋体" w:hint="eastAsia"/>
          <w:sz w:val="24"/>
        </w:rPr>
        <w:t>研</w:t>
      </w:r>
      <w:proofErr w:type="gramEnd"/>
      <w:r w:rsidRPr="0045498A">
        <w:rPr>
          <w:rFonts w:ascii="宋体" w:hAnsi="宋体" w:hint="eastAsia"/>
          <w:sz w:val="24"/>
        </w:rPr>
        <w:t>报告的相关要求。</w:t>
      </w:r>
    </w:p>
    <w:p w14:paraId="3A61A39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通信机楼建设应遵循经济适用、安全可靠、高效节能的原则，根据合理的建设标准和客户需求分期建设，材料选用精打细算，加强管理，避免浪费。 </w:t>
      </w:r>
    </w:p>
    <w:p w14:paraId="4ECCD37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通信机楼建设应具备灵活性和适应性，应分区域、分功能、分等级采用合适的建设模式，确定合理的建设规模，体现差异化。 </w:t>
      </w:r>
    </w:p>
    <w:p w14:paraId="22D90AE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通信机楼建设以应市场为导向，采用模块化建设方式灵活分期配置设备，适应市场价格差异，确保经济利益最大化。 </w:t>
      </w:r>
    </w:p>
    <w:p w14:paraId="7B84A3E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通信机楼土建框架应能适应市场主流标准的要求，具有一定的前瞻性、灵活性和通用</w:t>
      </w:r>
      <w:r w:rsidRPr="0045498A">
        <w:rPr>
          <w:rFonts w:ascii="宋体" w:hAnsi="宋体" w:hint="eastAsia"/>
          <w:sz w:val="24"/>
        </w:rPr>
        <w:lastRenderedPageBreak/>
        <w:t xml:space="preserve">性、弹性。 </w:t>
      </w:r>
    </w:p>
    <w:p w14:paraId="2A918AA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考虑到一定的建设周期，土建部分应适当提前建设，如考虑需求不明确，土建阶段可考虑采用大空间形式的建设模式，除楼电梯、卫生间和必备辅助房间外，其它内隔墙均不砌筑，等需求明确后，在机电配套阶段根据机房规划统一实施。机电配套部分应根据业务需求分期分批启动建设。</w:t>
      </w:r>
    </w:p>
    <w:p w14:paraId="2C81BEB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通信机楼标准化设计方案应以电力资源的充分利用为主要维度，采用模块化设计方法，实现机柜组模块化、配电模块化、机房模块化、机楼模块化。 </w:t>
      </w:r>
    </w:p>
    <w:p w14:paraId="087EC20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机柜组模块化应从空调末端的合理性和不间断电源的模数合理性两个维度确定每列机柜数量，每列机柜中的各单机柜功率应能适应弹性调配。 </w:t>
      </w:r>
    </w:p>
    <w:p w14:paraId="01E68C4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主机房模块化应与供电变压器容量匹配，针对不同的消防形式合理确定模块主机房空间规模。当采用</w:t>
      </w:r>
      <w:proofErr w:type="gramStart"/>
      <w:r w:rsidRPr="0045498A">
        <w:rPr>
          <w:rFonts w:ascii="宋体" w:hAnsi="宋体" w:hint="eastAsia"/>
          <w:sz w:val="24"/>
        </w:rPr>
        <w:t>气体消防</w:t>
      </w:r>
      <w:proofErr w:type="gramEnd"/>
      <w:r w:rsidRPr="0045498A">
        <w:rPr>
          <w:rFonts w:ascii="宋体" w:hAnsi="宋体" w:hint="eastAsia"/>
          <w:sz w:val="24"/>
        </w:rPr>
        <w:t xml:space="preserve">时，要求单个机房面积不大于800平方米，且体积不大于3600立方米。 </w:t>
      </w:r>
    </w:p>
    <w:p w14:paraId="04A0D57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单栋通信</w:t>
      </w:r>
      <w:proofErr w:type="gramStart"/>
      <w:r w:rsidRPr="0045498A">
        <w:rPr>
          <w:rFonts w:ascii="宋体" w:hAnsi="宋体" w:hint="eastAsia"/>
          <w:sz w:val="24"/>
        </w:rPr>
        <w:t>机楼机楼</w:t>
      </w:r>
      <w:proofErr w:type="gramEnd"/>
      <w:r w:rsidRPr="0045498A">
        <w:rPr>
          <w:rFonts w:ascii="宋体" w:hAnsi="宋体" w:hint="eastAsia"/>
          <w:sz w:val="24"/>
        </w:rPr>
        <w:t>的规模应与市电的引入容量匹配，应通过采用合理的空调方案和供配电方案，尽可能提高 IT 用电量的占比；适当预留一定比例的 IT 主机房空间，充分用足引入的市电资源。</w:t>
      </w:r>
    </w:p>
    <w:p w14:paraId="292AF7C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运</w:t>
      </w:r>
      <w:proofErr w:type="gramStart"/>
      <w:r w:rsidRPr="0045498A">
        <w:rPr>
          <w:rFonts w:ascii="宋体" w:hAnsi="宋体" w:hint="eastAsia"/>
          <w:sz w:val="24"/>
        </w:rPr>
        <w:t>维保障</w:t>
      </w:r>
      <w:proofErr w:type="gramEnd"/>
      <w:r w:rsidRPr="0045498A">
        <w:rPr>
          <w:rFonts w:ascii="宋体" w:hAnsi="宋体" w:hint="eastAsia"/>
          <w:sz w:val="24"/>
        </w:rPr>
        <w:t>中心应满足园区运</w:t>
      </w:r>
      <w:proofErr w:type="gramStart"/>
      <w:r w:rsidRPr="0045498A">
        <w:rPr>
          <w:rFonts w:ascii="宋体" w:hAnsi="宋体" w:hint="eastAsia"/>
          <w:sz w:val="24"/>
        </w:rPr>
        <w:t>维管理</w:t>
      </w:r>
      <w:proofErr w:type="gramEnd"/>
      <w:r w:rsidRPr="0045498A">
        <w:rPr>
          <w:rFonts w:ascii="宋体" w:hAnsi="宋体" w:hint="eastAsia"/>
          <w:sz w:val="24"/>
        </w:rPr>
        <w:t>人员的日常办公及生活保障要求以及园区监控的功能要求。</w:t>
      </w:r>
    </w:p>
    <w:p w14:paraId="706F5B5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立面设计应简洁大气、能够融入当地的文化特色，并展现企业的风貌和实力。</w:t>
      </w:r>
    </w:p>
    <w:p w14:paraId="7B0F8742" w14:textId="77777777" w:rsidR="00616558" w:rsidRPr="0045498A" w:rsidRDefault="00000000" w:rsidP="00C62299">
      <w:pPr>
        <w:pStyle w:val="3"/>
        <w:spacing w:before="0" w:after="0" w:line="360" w:lineRule="auto"/>
        <w:ind w:left="142" w:hanging="142"/>
        <w:jc w:val="left"/>
        <w:rPr>
          <w:rFonts w:ascii="宋体" w:hAnsi="宋体"/>
          <w:sz w:val="24"/>
          <w:szCs w:val="24"/>
        </w:rPr>
      </w:pPr>
      <w:r w:rsidRPr="0045498A">
        <w:rPr>
          <w:rFonts w:ascii="宋体" w:hAnsi="宋体" w:cs="宋体" w:hint="eastAsia"/>
          <w:sz w:val="24"/>
          <w:szCs w:val="24"/>
        </w:rPr>
        <w:t>管线综合布置原则</w:t>
      </w:r>
    </w:p>
    <w:p w14:paraId="1DC4DA3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管线综合规划的主要内容包括：确定基地内工程管线在地下敷设时的排列顺序和工程管线间的最小水平净距、最小垂直净距、最小覆土深度，以及架空敷设时管线及杆线的平面位置及周围建（构）筑物、道路、相邻工程管线间的最小水平净距和最小垂直净距。</w:t>
      </w:r>
    </w:p>
    <w:p w14:paraId="23F3ADA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工程管线敷设方式包括地下敷设（直埋敷设和管沟敷设等）、地上敷设方式（架空敷设、地面敷设等）。结合基地整体规划布局特点，建议管线宜釆用地下敷设的方式。</w:t>
      </w:r>
    </w:p>
    <w:p w14:paraId="565A5C7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w:t>
      </w:r>
      <w:r w:rsidRPr="0045498A">
        <w:rPr>
          <w:rFonts w:ascii="宋体" w:hAnsi="宋体" w:hint="eastAsia"/>
          <w:sz w:val="24"/>
        </w:rPr>
        <w:tab/>
        <w:t>地下管线的走向，</w:t>
      </w:r>
      <w:proofErr w:type="gramStart"/>
      <w:r w:rsidRPr="0045498A">
        <w:rPr>
          <w:rFonts w:ascii="宋体" w:hAnsi="宋体" w:hint="eastAsia"/>
          <w:sz w:val="24"/>
        </w:rPr>
        <w:t>宜沿道路</w:t>
      </w:r>
      <w:proofErr w:type="gramEnd"/>
      <w:r w:rsidRPr="0045498A">
        <w:rPr>
          <w:rFonts w:ascii="宋体" w:hAnsi="宋体" w:hint="eastAsia"/>
          <w:sz w:val="24"/>
        </w:rPr>
        <w:t>或与主体建筑平行布置；适当集中，尽量减少转弯，应使管线之间及管线与道路之间尽量减少交叉。</w:t>
      </w:r>
    </w:p>
    <w:p w14:paraId="639A889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w:t>
      </w:r>
      <w:r w:rsidRPr="0045498A">
        <w:rPr>
          <w:rFonts w:ascii="宋体" w:hAnsi="宋体" w:hint="eastAsia"/>
          <w:sz w:val="24"/>
        </w:rPr>
        <w:tab/>
        <w:t>管线敷设应充分利用地形。</w:t>
      </w:r>
    </w:p>
    <w:p w14:paraId="3A77D62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w:t>
      </w:r>
      <w:r w:rsidRPr="0045498A">
        <w:rPr>
          <w:rFonts w:ascii="宋体" w:hAnsi="宋体" w:hint="eastAsia"/>
          <w:sz w:val="24"/>
        </w:rPr>
        <w:tab/>
        <w:t>工程管线竖向位置发生矛盾时应遵循的基本原则：①压力管线让重力自流管线；②可弯曲管线让不易弯曲管线；③分支管线让主干管线；④小管</w:t>
      </w:r>
      <w:proofErr w:type="gramStart"/>
      <w:r w:rsidRPr="0045498A">
        <w:rPr>
          <w:rFonts w:ascii="宋体" w:hAnsi="宋体" w:hint="eastAsia"/>
          <w:sz w:val="24"/>
        </w:rPr>
        <w:t>径</w:t>
      </w:r>
      <w:proofErr w:type="gramEnd"/>
      <w:r w:rsidRPr="0045498A">
        <w:rPr>
          <w:rFonts w:ascii="宋体" w:hAnsi="宋体" w:hint="eastAsia"/>
          <w:sz w:val="24"/>
        </w:rPr>
        <w:t>管线让大管</w:t>
      </w:r>
      <w:proofErr w:type="gramStart"/>
      <w:r w:rsidRPr="0045498A">
        <w:rPr>
          <w:rFonts w:ascii="宋体" w:hAnsi="宋体" w:hint="eastAsia"/>
          <w:sz w:val="24"/>
        </w:rPr>
        <w:t>径</w:t>
      </w:r>
      <w:proofErr w:type="gramEnd"/>
      <w:r w:rsidRPr="0045498A">
        <w:rPr>
          <w:rFonts w:ascii="宋体" w:hAnsi="宋体" w:hint="eastAsia"/>
          <w:sz w:val="24"/>
        </w:rPr>
        <w:t>管线；⑤临时性管道让永久性管道；⑥新设计的让原有的；⑦施工量小的让施工量大的；⑧检修次</w:t>
      </w:r>
      <w:r w:rsidRPr="0045498A">
        <w:rPr>
          <w:rFonts w:ascii="宋体" w:hAnsi="宋体" w:hint="eastAsia"/>
          <w:sz w:val="24"/>
        </w:rPr>
        <w:lastRenderedPageBreak/>
        <w:t>数少的、方便的，让检修次数多的、不方便的。</w:t>
      </w:r>
    </w:p>
    <w:p w14:paraId="225ED42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w:t>
      </w:r>
      <w:r w:rsidRPr="0045498A">
        <w:rPr>
          <w:rFonts w:ascii="宋体" w:hAnsi="宋体" w:hint="eastAsia"/>
          <w:sz w:val="24"/>
        </w:rPr>
        <w:tab/>
        <w:t>电力电缆与电信</w:t>
      </w:r>
      <w:proofErr w:type="gramStart"/>
      <w:r w:rsidRPr="0045498A">
        <w:rPr>
          <w:rFonts w:ascii="宋体" w:hAnsi="宋体" w:hint="eastAsia"/>
          <w:sz w:val="24"/>
        </w:rPr>
        <w:t>管缆宜</w:t>
      </w:r>
      <w:proofErr w:type="gramEnd"/>
      <w:r w:rsidRPr="0045498A">
        <w:rPr>
          <w:rFonts w:ascii="宋体" w:hAnsi="宋体" w:hint="eastAsia"/>
          <w:sz w:val="24"/>
        </w:rPr>
        <w:t>远离，并按照电力管线在道路东侧或南侧、电信管线在道路西侧或北侧的原则布置。</w:t>
      </w:r>
    </w:p>
    <w:p w14:paraId="2AFDDB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w:t>
      </w:r>
      <w:r w:rsidRPr="0045498A">
        <w:rPr>
          <w:rFonts w:ascii="宋体" w:hAnsi="宋体" w:hint="eastAsia"/>
          <w:sz w:val="24"/>
        </w:rPr>
        <w:tab/>
        <w:t>尽可能</w:t>
      </w:r>
      <w:proofErr w:type="gramStart"/>
      <w:r w:rsidRPr="0045498A">
        <w:rPr>
          <w:rFonts w:ascii="宋体" w:hAnsi="宋体" w:hint="eastAsia"/>
          <w:sz w:val="24"/>
        </w:rPr>
        <w:t>将性质</w:t>
      </w:r>
      <w:proofErr w:type="gramEnd"/>
      <w:r w:rsidRPr="0045498A">
        <w:rPr>
          <w:rFonts w:ascii="宋体" w:hAnsi="宋体" w:hint="eastAsia"/>
          <w:sz w:val="24"/>
        </w:rPr>
        <w:t>类似、埋深接近的管线排列在一起；</w:t>
      </w:r>
    </w:p>
    <w:p w14:paraId="67D69BD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（6）</w:t>
      </w:r>
      <w:r w:rsidRPr="0045498A">
        <w:rPr>
          <w:rFonts w:ascii="宋体" w:hAnsi="宋体" w:hint="eastAsia"/>
          <w:sz w:val="24"/>
        </w:rPr>
        <w:tab/>
        <w:t>与道路平行的工程管线不宜设于车行道下，当确有需要时，可将埋深较大、翻修较小的工程管线布置在车行道下。</w:t>
      </w:r>
    </w:p>
    <w:p w14:paraId="2F2655E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（7）</w:t>
      </w:r>
      <w:r w:rsidRPr="0045498A">
        <w:rPr>
          <w:rFonts w:ascii="宋体" w:hAnsi="宋体" w:hint="eastAsia"/>
          <w:sz w:val="24"/>
        </w:rPr>
        <w:tab/>
        <w:t>离建筑物的水平顺序，由近及远宜为：电力管线或电信管线、燃气管、热力管、给水管、雨水管、污水管；</w:t>
      </w:r>
    </w:p>
    <w:p w14:paraId="6CB9AED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（8）</w:t>
      </w:r>
      <w:r w:rsidRPr="0045498A">
        <w:rPr>
          <w:rFonts w:ascii="宋体" w:hAnsi="宋体" w:hint="eastAsia"/>
          <w:sz w:val="24"/>
        </w:rPr>
        <w:tab/>
        <w:t>各类管线的垂直排序，由浅入深宜为：电信管线、热力管、小于10kV电力电缆、大于10kV电力电缆、燃气管、给水管、雨水管、污水管。</w:t>
      </w:r>
    </w:p>
    <w:p w14:paraId="2A748176" w14:textId="77777777" w:rsidR="00616558" w:rsidRPr="0045498A" w:rsidRDefault="00000000" w:rsidP="00C62299">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室外管道与道路交叉布置原则</w:t>
      </w:r>
    </w:p>
    <w:p w14:paraId="5297575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按照《城市工程管线综合规划规范》规定，</w:t>
      </w:r>
      <w:proofErr w:type="gramStart"/>
      <w:r w:rsidRPr="0045498A">
        <w:rPr>
          <w:rFonts w:ascii="宋体" w:hAnsi="宋体" w:hint="eastAsia"/>
          <w:sz w:val="24"/>
        </w:rPr>
        <w:t>当遇下列</w:t>
      </w:r>
      <w:proofErr w:type="gramEnd"/>
      <w:r w:rsidRPr="0045498A">
        <w:rPr>
          <w:rFonts w:ascii="宋体" w:hAnsi="宋体" w:hint="eastAsia"/>
          <w:sz w:val="24"/>
        </w:rPr>
        <w:t>情况之一时，工程管线宜采用综合管</w:t>
      </w:r>
      <w:proofErr w:type="gramStart"/>
      <w:r w:rsidRPr="0045498A">
        <w:rPr>
          <w:rFonts w:ascii="宋体" w:hAnsi="宋体" w:hint="eastAsia"/>
          <w:sz w:val="24"/>
        </w:rPr>
        <w:t>沟集中</w:t>
      </w:r>
      <w:proofErr w:type="gramEnd"/>
      <w:r w:rsidRPr="0045498A">
        <w:rPr>
          <w:rFonts w:ascii="宋体" w:hAnsi="宋体" w:hint="eastAsia"/>
          <w:sz w:val="24"/>
        </w:rPr>
        <w:t>敷设：</w:t>
      </w:r>
    </w:p>
    <w:p w14:paraId="12FDBB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1.交通运输繁忙或工程管线设施较多的机动车道、城市主干道以及</w:t>
      </w:r>
      <w:proofErr w:type="gramStart"/>
      <w:r w:rsidRPr="0045498A">
        <w:rPr>
          <w:rFonts w:ascii="宋体" w:hAnsi="宋体" w:hint="eastAsia"/>
          <w:sz w:val="24"/>
        </w:rPr>
        <w:t>配合兴建</w:t>
      </w:r>
      <w:proofErr w:type="gramEnd"/>
      <w:r w:rsidRPr="0045498A">
        <w:rPr>
          <w:rFonts w:ascii="宋体" w:hAnsi="宋体" w:hint="eastAsia"/>
          <w:sz w:val="24"/>
        </w:rPr>
        <w:t>地下铁道、立体交叉等工程地段。</w:t>
      </w:r>
    </w:p>
    <w:p w14:paraId="2B059DF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2.不宜开挖路面的路段。</w:t>
      </w:r>
    </w:p>
    <w:p w14:paraId="118A793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3.广场或主要道路的交叉处。</w:t>
      </w:r>
    </w:p>
    <w:p w14:paraId="0858A3A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4.需同时敷设两种以上工程管线及多回路电缆的道路。</w:t>
      </w:r>
    </w:p>
    <w:p w14:paraId="4B89DB8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5.道路与铁路或河流的交叉处。</w:t>
      </w:r>
    </w:p>
    <w:p w14:paraId="02B7E94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6.道路宽度难以满足直埋敷设多种管线的路段。</w:t>
      </w:r>
    </w:p>
    <w:p w14:paraId="647CAF0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7.综合管沟内宜敷设电信电缆管线、低压配电电缆管线、给水管线、热力管线、污雨水排水管线。</w:t>
      </w:r>
    </w:p>
    <w:p w14:paraId="1E531A1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8.综合管沟内相互无干扰的工程管线可设置在管沟的同一个小室；相互有干扰的工程管线应分别设在管沟的不同</w:t>
      </w:r>
      <w:proofErr w:type="gramStart"/>
      <w:r w:rsidRPr="0045498A">
        <w:rPr>
          <w:rFonts w:ascii="宋体" w:hAnsi="宋体" w:hint="eastAsia"/>
          <w:sz w:val="24"/>
        </w:rPr>
        <w:t>不</w:t>
      </w:r>
      <w:proofErr w:type="gramEnd"/>
      <w:r w:rsidRPr="0045498A">
        <w:rPr>
          <w:rFonts w:ascii="宋体" w:hAnsi="宋体" w:hint="eastAsia"/>
          <w:sz w:val="24"/>
        </w:rPr>
        <w:t>室。</w:t>
      </w:r>
    </w:p>
    <w:p w14:paraId="751C31C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9.电信电缆管线与高压输电电缆管线必须分开设置；给水管线与排水管线可在综合管沟一侧布置，排水管线应布置在综合管沟的底部。</w:t>
      </w:r>
    </w:p>
    <w:p w14:paraId="55AE883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10.工程管线干线综合管沟的敷设，应设置在机动车道下面，其覆土深度应根据道路施工、行车荷载和综合管沟的结构强度以及当地的冰冻深度等因素综合确定；敷设工程管线支线的综合管沟，应设置在人行道或非机动车道下，其埋设深度应根据综合管沟的结构强度以及管线的间距要求等因素综合确定。</w:t>
      </w:r>
    </w:p>
    <w:p w14:paraId="23ABA50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结合项目产业属性及拟建规模，并参照综合管沟建设特点及布置原则，综合考虑技术及经济因素，本项目按照《城市工程管线综合规划规范》相关原则规划布置在人行道或非机动车道下面，或是敷设在绿化地带内(但不宜在乔木下)；同时应尽量避免地下管道贯穿或斜穿场地中的成片绿地，以避免限制绿地种植和其他景</w:t>
      </w:r>
      <w:proofErr w:type="gramStart"/>
      <w:r w:rsidRPr="0045498A">
        <w:rPr>
          <w:rFonts w:ascii="宋体" w:hAnsi="宋体" w:hint="eastAsia"/>
          <w:sz w:val="24"/>
        </w:rPr>
        <w:t>园设置</w:t>
      </w:r>
      <w:proofErr w:type="gramEnd"/>
      <w:r w:rsidRPr="0045498A">
        <w:rPr>
          <w:rFonts w:ascii="宋体" w:hAnsi="宋体" w:hint="eastAsia"/>
          <w:sz w:val="24"/>
        </w:rPr>
        <w:t>的布置。如果管线不得已必须穿越绿地时，则应尽量从绿地边缘通过，减少不利影响的范围。</w:t>
      </w:r>
    </w:p>
    <w:p w14:paraId="0AE6E69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设计依据和规范</w:t>
      </w:r>
    </w:p>
    <w:p w14:paraId="5729220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（以下设计依据和规范如有最新版应以最新版为准）</w:t>
      </w:r>
    </w:p>
    <w:p w14:paraId="600AFA9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《民用建筑设计统一标准》                     GB50352—2019</w:t>
      </w:r>
    </w:p>
    <w:p w14:paraId="203D99A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《工程建设标准强制性条文》                   (2013房屋建筑部分)</w:t>
      </w:r>
    </w:p>
    <w:p w14:paraId="763D5B9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《无障碍设计规范》                           GB50763-2012</w:t>
      </w:r>
    </w:p>
    <w:p w14:paraId="2AF060B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《建筑地面设计规范》                         GB50037-2013</w:t>
      </w:r>
    </w:p>
    <w:p w14:paraId="62BC103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《屋面工程技术规范》                         GB50345-2012</w:t>
      </w:r>
    </w:p>
    <w:p w14:paraId="63C815B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《建筑内部装修设计防火规范》                 GB50222-2017</w:t>
      </w:r>
    </w:p>
    <w:p w14:paraId="0DF58BE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《建筑设计防火规范》                         GB50016-2014（2018版）</w:t>
      </w:r>
    </w:p>
    <w:p w14:paraId="2005243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《公共建筑节能设计标准》                     GB50189-2015</w:t>
      </w:r>
    </w:p>
    <w:p w14:paraId="004C13A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《建筑节能与可再生能源利用通用规范》         GB55015-2021</w:t>
      </w:r>
    </w:p>
    <w:p w14:paraId="019A98D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《建筑环境通用规范》                         GB55016-2021</w:t>
      </w:r>
    </w:p>
    <w:p w14:paraId="22E5C8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《绿色建筑评价标准》                         GB50378-2019</w:t>
      </w:r>
    </w:p>
    <w:p w14:paraId="6448886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《工程结构通用规范》                         GB55001-2021</w:t>
      </w:r>
    </w:p>
    <w:p w14:paraId="4DA6EB8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《建筑与市政地基基础通用规范》               GB55003-2021</w:t>
      </w:r>
    </w:p>
    <w:p w14:paraId="17A5A4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《混凝土结构通用规范》                       GB55008-2021</w:t>
      </w:r>
    </w:p>
    <w:p w14:paraId="489B3D2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《建筑与市政工程抗震通用规范》               GB55002-2021</w:t>
      </w:r>
    </w:p>
    <w:p w14:paraId="0685344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《建筑结构可靠度设计统一标准》               GB50068-2018</w:t>
      </w:r>
    </w:p>
    <w:p w14:paraId="3F33ED2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《建筑结构荷载规范》                         GB50009-2012</w:t>
      </w:r>
    </w:p>
    <w:p w14:paraId="461DA4B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《钢结构设计标准》                           GB50017-2017</w:t>
      </w:r>
    </w:p>
    <w:p w14:paraId="7A44FF7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《混凝土结构设计规范》                       GB50010-2010（2015年版）</w:t>
      </w:r>
    </w:p>
    <w:p w14:paraId="440A0D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《建筑地基基础设计规范》                     GB50007-2011</w:t>
      </w:r>
    </w:p>
    <w:p w14:paraId="50ADAB2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《建筑抗震设计规范》                         GB50011-2010（2016年版）</w:t>
      </w:r>
    </w:p>
    <w:p w14:paraId="318CB38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《建筑工程抗震设防分类标准》                 GB50223-2008</w:t>
      </w:r>
    </w:p>
    <w:p w14:paraId="7DCFA47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《通信建筑抗震设防分类标准》                 YD5054-2010</w:t>
      </w:r>
    </w:p>
    <w:p w14:paraId="21E48CE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《通信建筑工程设计规范》                     YD5003-2014</w:t>
      </w:r>
    </w:p>
    <w:p w14:paraId="57FEF59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《数据中心设计规范》                         GB50174-2017</w:t>
      </w:r>
    </w:p>
    <w:p w14:paraId="6B20F3C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《砌体结构设计规范》                         GB50003-2011</w:t>
      </w:r>
    </w:p>
    <w:p w14:paraId="6A35FE0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《建筑桩基技术规范》                         JGJ94-2008</w:t>
      </w:r>
    </w:p>
    <w:p w14:paraId="345F247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《城镇给水排水技术规范》                     GB50788-2012</w:t>
      </w:r>
    </w:p>
    <w:p w14:paraId="4105CAF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《建筑给水排水与节水通用规范》               GB55020-2021</w:t>
      </w:r>
    </w:p>
    <w:p w14:paraId="1648E76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《建筑给水排水设计标准》                     GB50015-2019</w:t>
      </w:r>
    </w:p>
    <w:p w14:paraId="05E2740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《室外给水设计标准》                         GB50013-2018</w:t>
      </w:r>
    </w:p>
    <w:p w14:paraId="5B89CB9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《室外排水设计标准》                         GB50014—2021</w:t>
      </w:r>
    </w:p>
    <w:p w14:paraId="50544FA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《全国民用建筑工程设计技术措施-给排水》     （2009年版）</w:t>
      </w:r>
    </w:p>
    <w:p w14:paraId="4D806D7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《消防给水及消火栓系统技术规范》             GB50974-2014</w:t>
      </w:r>
    </w:p>
    <w:p w14:paraId="52F3759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《自动喷水灭火系统设计规范》                 GB50084-2017</w:t>
      </w:r>
    </w:p>
    <w:p w14:paraId="60F3377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《建筑灭火器配置设计规范》                   GB50140-2005</w:t>
      </w:r>
    </w:p>
    <w:p w14:paraId="6DA4862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《气体灭火系统设计规范》                     GB50370-2005</w:t>
      </w:r>
    </w:p>
    <w:p w14:paraId="5BBAAA6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《民用建筑电气设计标准》                     GB51348-2019</w:t>
      </w:r>
    </w:p>
    <w:p w14:paraId="232737F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《20kV及以下变电所设计规范》                 GB50053-2013</w:t>
      </w:r>
    </w:p>
    <w:p w14:paraId="329AA15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《低压配电设计规范》                         GB50054-2011</w:t>
      </w:r>
    </w:p>
    <w:p w14:paraId="712CAA0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《供配电系统设计规范》                       GB50052-2009</w:t>
      </w:r>
    </w:p>
    <w:p w14:paraId="5983881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《建筑照明设计标准》                         GB50034-2013</w:t>
      </w:r>
    </w:p>
    <w:p w14:paraId="2608A10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《建筑物防雷设计规范》                       GB50057-2010</w:t>
      </w:r>
    </w:p>
    <w:p w14:paraId="3415D4F2" w14:textId="071BE381"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《建筑工程设计文件编制深度规定》           </w:t>
      </w:r>
      <w:r w:rsidR="00C468E9" w:rsidRPr="0045498A">
        <w:rPr>
          <w:rFonts w:ascii="宋体" w:hAnsi="宋体"/>
          <w:sz w:val="24"/>
        </w:rPr>
        <w:t xml:space="preserve"> </w:t>
      </w:r>
      <w:r w:rsidRPr="0045498A">
        <w:rPr>
          <w:rFonts w:ascii="宋体" w:hAnsi="宋体" w:hint="eastAsia"/>
          <w:sz w:val="24"/>
        </w:rPr>
        <w:t>中华人民共和国住建部 (2016年)</w:t>
      </w:r>
    </w:p>
    <w:p w14:paraId="44970E1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《公共场所阻燃制品及组件燃烧性能要求和标识》 GB20286-2006</w:t>
      </w:r>
    </w:p>
    <w:p w14:paraId="72059CA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《建筑机电工程抗震设计规范》                 GB50981-2014</w:t>
      </w:r>
    </w:p>
    <w:p w14:paraId="5C582B0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《火灾自动报警系统设计规范》                 GB50116-2013</w:t>
      </w:r>
    </w:p>
    <w:p w14:paraId="3D78975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《电力工程电缆设计规范》                     GB50217-2018</w:t>
      </w:r>
    </w:p>
    <w:p w14:paraId="5651F97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《通信电源设备安装工程设计规范》             GB51194-2016</w:t>
      </w:r>
    </w:p>
    <w:p w14:paraId="21DBE11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《通信高压直流电源设备工程设计规范》         GB 51215-2017</w:t>
      </w:r>
    </w:p>
    <w:p w14:paraId="0B56CBD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《民用建筑供暖通风与空气调节设计规范》       GB50736-2012</w:t>
      </w:r>
    </w:p>
    <w:p w14:paraId="1BD65EC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《建筑防烟排烟系统技术标准》                 GB51251-2017</w:t>
      </w:r>
    </w:p>
    <w:p w14:paraId="09FDEAA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《智能建筑设计标准》                         GB50314-2015</w:t>
      </w:r>
    </w:p>
    <w:p w14:paraId="6D20E38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《智能建筑工程质量验收规范》                 GB50339-2013</w:t>
      </w:r>
    </w:p>
    <w:p w14:paraId="21C4EB5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《综合布线系统工程设计规范》                 GB50311-2016</w:t>
      </w:r>
    </w:p>
    <w:p w14:paraId="1A8423E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《综合布线系统工程验收规范》                 GB/T50312-2016</w:t>
      </w:r>
    </w:p>
    <w:p w14:paraId="5A62CFA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《民用闭路监视电视系统工程技术规范》         GB50198-2011</w:t>
      </w:r>
    </w:p>
    <w:p w14:paraId="1BC4247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《出入口控制系统工程设计规范》               GB50396-2007</w:t>
      </w:r>
    </w:p>
    <w:p w14:paraId="4EB8907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《入侵报警系统工程设计规范》                 GB50394-2007</w:t>
      </w:r>
    </w:p>
    <w:p w14:paraId="198A58B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《视频安防监控系统工程设计规范》             GB50395-2007</w:t>
      </w:r>
    </w:p>
    <w:p w14:paraId="6B7AC65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《中央空调水系统节能控制装置技术规范》       GB/T26759-2011</w:t>
      </w:r>
    </w:p>
    <w:p w14:paraId="6016D6B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《关于印发数据中心供电系统配置标准(暂行)和数据中心供电系统配置标准（暂行）的通知》（中国电信〔2014〕390号）</w:t>
      </w:r>
    </w:p>
    <w:p w14:paraId="6738C4E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《关于印发中国电信数据中心及综合楼室内装修和造价标准(暂行)的通知》（中国电信〔2018〕226号）</w:t>
      </w:r>
    </w:p>
    <w:p w14:paraId="07E6031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《关于印发中国电信数据中心及综合楼建设和造价标准(暂行)的通知》（中国电信〔2018〕309号）</w:t>
      </w:r>
    </w:p>
    <w:p w14:paraId="1E11864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《关于印发中国电信数据中心建设标准（2020版）的通知》（中国电信〔2020〕331号）</w:t>
      </w:r>
    </w:p>
    <w:p w14:paraId="21588A5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其他国家、地方、行业、企业等现行的相关设计规范、规程及标准。</w:t>
      </w:r>
    </w:p>
    <w:p w14:paraId="5CBEEDF6"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园区运营管理系统设计要求</w:t>
      </w:r>
    </w:p>
    <w:p w14:paraId="23BBDA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本项目园区运营管理系统包括通信网络传输系统、消防控制系统、安防及管理系统、业务监控系统。本项目的建设将建立在</w:t>
      </w:r>
      <w:proofErr w:type="gramStart"/>
      <w:r w:rsidRPr="0045498A">
        <w:rPr>
          <w:rFonts w:ascii="宋体" w:hAnsi="宋体" w:hint="eastAsia"/>
          <w:sz w:val="24"/>
        </w:rPr>
        <w:t>园区四</w:t>
      </w:r>
      <w:proofErr w:type="gramEnd"/>
      <w:r w:rsidRPr="0045498A">
        <w:rPr>
          <w:rFonts w:ascii="宋体" w:hAnsi="宋体" w:hint="eastAsia"/>
          <w:sz w:val="24"/>
        </w:rPr>
        <w:t>大系统总体规划的框架下，对各单体进行细化深化。</w:t>
      </w:r>
    </w:p>
    <w:p w14:paraId="78B92134" w14:textId="77777777" w:rsidR="00616558" w:rsidRPr="0045498A" w:rsidRDefault="00000000" w:rsidP="00C62299">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通信网络传输系统规划</w:t>
      </w:r>
    </w:p>
    <w:p w14:paraId="713BD28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智慧园区的智能通信管道利用RFID 、移动通信网络、光纤网络等多种网络互连，充分的实现物与物、物与人、人与人的各种互连。实现泛在、融合的智能通信网络。</w:t>
      </w:r>
    </w:p>
    <w:p w14:paraId="1F07A09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基础网络系统包含业务监控网络和办公综合布线网络。业务监控网络对内承接整个园区的智能管理业务，为项目内物业管理及其它的智能化系统提供高速、稳定、安全的数据交换平台；办公综合布线为园区覆盖有线、WIFI、语音通信服务，以满足移动运维业务及运维办公等需求。通信基础网络系统根据内外部分流原则，网络拓扑采用二级架构，分成核心层和接入层二层结构。</w:t>
      </w:r>
    </w:p>
    <w:p w14:paraId="02A79E57" w14:textId="77777777" w:rsidR="00616558" w:rsidRPr="0045498A" w:rsidRDefault="00000000" w:rsidP="00264A2C">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lastRenderedPageBreak/>
        <w:t>消防控制系统规划</w:t>
      </w:r>
    </w:p>
    <w:p w14:paraId="737223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园区消防控制中心设置在B1运</w:t>
      </w:r>
      <w:proofErr w:type="gramStart"/>
      <w:r w:rsidRPr="0045498A">
        <w:rPr>
          <w:rFonts w:ascii="宋体" w:hAnsi="宋体" w:hint="eastAsia"/>
          <w:sz w:val="24"/>
        </w:rPr>
        <w:t>维保障中心消防</w:t>
      </w:r>
      <w:proofErr w:type="gramEnd"/>
      <w:r w:rsidRPr="0045498A">
        <w:rPr>
          <w:rFonts w:ascii="宋体" w:hAnsi="宋体" w:hint="eastAsia"/>
          <w:sz w:val="24"/>
        </w:rPr>
        <w:t>控制室，同时与公共区域安防系统合用监控室，负责B1运</w:t>
      </w:r>
      <w:proofErr w:type="gramStart"/>
      <w:r w:rsidRPr="0045498A">
        <w:rPr>
          <w:rFonts w:ascii="宋体" w:hAnsi="宋体" w:hint="eastAsia"/>
          <w:sz w:val="24"/>
        </w:rPr>
        <w:t>维保障</w:t>
      </w:r>
      <w:proofErr w:type="gramEnd"/>
      <w:r w:rsidRPr="0045498A">
        <w:rPr>
          <w:rFonts w:ascii="宋体" w:hAnsi="宋体" w:hint="eastAsia"/>
          <w:sz w:val="24"/>
        </w:rPr>
        <w:t>中心及园区建筑的消防自动报警、周界安防、公共区域安防监控等功能；园区其他每栋楼首层设置消防设备间。</w:t>
      </w:r>
    </w:p>
    <w:p w14:paraId="7CD84CE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消防控制中心与对应的消防设备间之间：消防设备间内火灾报警控制器的所有信息在园区消防控制中心/消防分控中心集中火灾报警控制器上均有显示，且能接收起集中控制功能的火灾报警控制器的联动控制信号，并自动启动相应的消防设备。此系统由物业人员管理。</w:t>
      </w:r>
    </w:p>
    <w:p w14:paraId="110A3D2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B1运</w:t>
      </w:r>
      <w:proofErr w:type="gramStart"/>
      <w:r w:rsidRPr="0045498A">
        <w:rPr>
          <w:rFonts w:ascii="宋体" w:hAnsi="宋体" w:hint="eastAsia"/>
          <w:sz w:val="24"/>
        </w:rPr>
        <w:t>维保障中心消防</w:t>
      </w:r>
      <w:proofErr w:type="gramEnd"/>
      <w:r w:rsidRPr="0045498A">
        <w:rPr>
          <w:rFonts w:ascii="宋体" w:hAnsi="宋体" w:hint="eastAsia"/>
          <w:sz w:val="24"/>
        </w:rPr>
        <w:t>控制室与安防系统合用监控室，负责A2栋通信机楼、C1栋动力中心的消防自动报警、周界防范、安防监控等功能。</w:t>
      </w:r>
    </w:p>
    <w:p w14:paraId="50D93D9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B1运</w:t>
      </w:r>
      <w:proofErr w:type="gramStart"/>
      <w:r w:rsidRPr="0045498A">
        <w:rPr>
          <w:rFonts w:ascii="宋体" w:hAnsi="宋体" w:hint="eastAsia"/>
          <w:sz w:val="24"/>
        </w:rPr>
        <w:t>维保障中心消防</w:t>
      </w:r>
      <w:proofErr w:type="gramEnd"/>
      <w:r w:rsidRPr="0045498A">
        <w:rPr>
          <w:rFonts w:ascii="宋体" w:hAnsi="宋体" w:hint="eastAsia"/>
          <w:sz w:val="24"/>
        </w:rPr>
        <w:t>控制室执行7×24小时双人值守，对消防系统进行监控。所有火灾报警主机均接入电信的消防集中监控平台。各机楼的通信机房、配电房、电力室、电池室火灾报警均采用双系统，除设置点式烟感温感探头外，还</w:t>
      </w:r>
      <w:proofErr w:type="gramStart"/>
      <w:r w:rsidRPr="0045498A">
        <w:rPr>
          <w:rFonts w:ascii="宋体" w:hAnsi="宋体" w:hint="eastAsia"/>
          <w:sz w:val="24"/>
        </w:rPr>
        <w:t>设置极早期</w:t>
      </w:r>
      <w:proofErr w:type="gramEnd"/>
      <w:r w:rsidRPr="0045498A">
        <w:rPr>
          <w:rFonts w:ascii="宋体" w:hAnsi="宋体" w:hint="eastAsia"/>
          <w:sz w:val="24"/>
        </w:rPr>
        <w:t>火灾报警系统作为各机房的火灾预警系统，其报警和故障信号接入火灾自动报警主机。</w:t>
      </w:r>
    </w:p>
    <w:p w14:paraId="391D8335" w14:textId="77777777" w:rsidR="00616558" w:rsidRPr="0045498A" w:rsidRDefault="00000000" w:rsidP="00264A2C">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安防及管理系统规划</w:t>
      </w:r>
    </w:p>
    <w:p w14:paraId="3C3F538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园区安防及管理系统包括园区周界入侵报警系统、视频安防监控系统、出入口控制（门禁，公共区域）系统、车辆管理系统、道闸系统、访客系统等。园区安防监控中心设置在B1运</w:t>
      </w:r>
      <w:proofErr w:type="gramStart"/>
      <w:r w:rsidRPr="0045498A">
        <w:rPr>
          <w:rFonts w:ascii="宋体" w:hAnsi="宋体" w:hint="eastAsia"/>
          <w:sz w:val="24"/>
        </w:rPr>
        <w:t>维保障</w:t>
      </w:r>
      <w:proofErr w:type="gramEnd"/>
      <w:r w:rsidRPr="0045498A">
        <w:rPr>
          <w:rFonts w:ascii="宋体" w:hAnsi="宋体" w:hint="eastAsia"/>
          <w:sz w:val="24"/>
        </w:rPr>
        <w:t>中心首层物业安防监控室（与消防控制室合用），并在综合楼设置监控室（与消防控制室合用）,此系统由物业人员管理。</w:t>
      </w:r>
    </w:p>
    <w:p w14:paraId="64755D7A" w14:textId="77777777" w:rsidR="00616558" w:rsidRPr="0045498A" w:rsidRDefault="00000000" w:rsidP="00C62299">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业务监控系统规划</w:t>
      </w:r>
    </w:p>
    <w:p w14:paraId="05900AE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通信机楼监控集中设置于B1运</w:t>
      </w:r>
      <w:proofErr w:type="gramStart"/>
      <w:r w:rsidRPr="0045498A">
        <w:rPr>
          <w:rFonts w:ascii="宋体" w:hAnsi="宋体" w:hint="eastAsia"/>
          <w:sz w:val="24"/>
        </w:rPr>
        <w:t>维保障</w:t>
      </w:r>
      <w:proofErr w:type="gramEnd"/>
      <w:r w:rsidRPr="0045498A">
        <w:rPr>
          <w:rFonts w:ascii="宋体" w:hAnsi="宋体" w:hint="eastAsia"/>
          <w:sz w:val="24"/>
        </w:rPr>
        <w:t>中心ECC监控中心，同时配置监控大屏、高清视频矩阵、监控坐席和监控软件等。主要用于对通信机楼业务平台、机房动力环境监控平台、空调群控系统和能耗监测系统的网络运营监控。</w:t>
      </w:r>
    </w:p>
    <w:p w14:paraId="02001EB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园区统一部署机房管理平台（DCIM）系统，主要负责</w:t>
      </w:r>
      <w:proofErr w:type="gramStart"/>
      <w:r w:rsidRPr="0045498A">
        <w:rPr>
          <w:rFonts w:ascii="宋体" w:hAnsi="宋体" w:hint="eastAsia"/>
          <w:sz w:val="24"/>
        </w:rPr>
        <w:t>对动环监控系统</w:t>
      </w:r>
      <w:proofErr w:type="gramEnd"/>
      <w:r w:rsidRPr="0045498A">
        <w:rPr>
          <w:rFonts w:ascii="宋体" w:hAnsi="宋体" w:hint="eastAsia"/>
          <w:sz w:val="24"/>
        </w:rPr>
        <w:t>、能耗管理系统、视频监控系统、出入口控制（门禁，机房区域）系统、空调群控系统、资产管理功能、容量管理功能、3D系统、大屏展示多个系统的内容进行监控和管理。实现了高度统一的信息共享、相互协调和联动功能，并建立起整个通信机楼的集成监控和管理界面。此系统由业主专业人员管理，与物业人员分开设置。</w:t>
      </w:r>
    </w:p>
    <w:p w14:paraId="59A7D6B5" w14:textId="77777777" w:rsidR="00616558" w:rsidRPr="0045498A" w:rsidRDefault="00000000" w:rsidP="00C62299">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园区运营管理系统界面</w:t>
      </w:r>
    </w:p>
    <w:p w14:paraId="16E4B16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本工程园区运营管理系统范围包含消防及安防系统，通信网络系统及业务监控系统仅</w:t>
      </w:r>
      <w:r w:rsidRPr="0045498A">
        <w:rPr>
          <w:rFonts w:ascii="宋体" w:hAnsi="宋体" w:hint="eastAsia"/>
          <w:sz w:val="24"/>
        </w:rPr>
        <w:lastRenderedPageBreak/>
        <w:t>做接口预留。具体以投资界面包含的建设内容为准。</w:t>
      </w:r>
    </w:p>
    <w:p w14:paraId="5E7595A0"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专业设计要求</w:t>
      </w:r>
    </w:p>
    <w:p w14:paraId="5FFA0E96" w14:textId="77777777" w:rsidR="00616558" w:rsidRPr="0045498A" w:rsidRDefault="00000000" w:rsidP="00C62299">
      <w:pPr>
        <w:pStyle w:val="3"/>
        <w:spacing w:before="0" w:after="0" w:line="360" w:lineRule="auto"/>
        <w:ind w:left="142" w:hanging="142"/>
        <w:rPr>
          <w:rFonts w:ascii="宋体" w:hAnsi="宋体"/>
          <w:b/>
          <w:bCs w:val="0"/>
          <w:sz w:val="24"/>
          <w:szCs w:val="24"/>
        </w:rPr>
      </w:pPr>
      <w:r w:rsidRPr="0045498A">
        <w:rPr>
          <w:rFonts w:ascii="宋体" w:hAnsi="宋体" w:cs="宋体" w:hint="eastAsia"/>
          <w:b/>
          <w:bCs w:val="0"/>
          <w:sz w:val="24"/>
          <w:szCs w:val="24"/>
        </w:rPr>
        <w:t>建筑设计</w:t>
      </w:r>
    </w:p>
    <w:p w14:paraId="170E8D2D" w14:textId="77777777" w:rsidR="00616558" w:rsidRPr="0045498A" w:rsidRDefault="00000000" w:rsidP="00C62299">
      <w:pPr>
        <w:pStyle w:val="4"/>
        <w:spacing w:before="0" w:after="0" w:line="360" w:lineRule="auto"/>
        <w:ind w:left="425"/>
        <w:rPr>
          <w:rFonts w:ascii="宋体" w:hAnsi="宋体"/>
          <w:b/>
          <w:bCs w:val="0"/>
          <w:sz w:val="24"/>
          <w:szCs w:val="24"/>
        </w:rPr>
      </w:pPr>
      <w:r w:rsidRPr="0045498A">
        <w:rPr>
          <w:rFonts w:ascii="宋体" w:hAnsi="宋体" w:hint="eastAsia"/>
          <w:b/>
          <w:bCs w:val="0"/>
          <w:sz w:val="24"/>
          <w:szCs w:val="24"/>
        </w:rPr>
        <w:t>平面布局</w:t>
      </w:r>
    </w:p>
    <w:p w14:paraId="244AB46B"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平面要求</w:t>
      </w:r>
    </w:p>
    <w:p w14:paraId="60F821C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建筑平面宜采用模块化布局，应围绕基本机房模块单元进行空间布局，并满足通信机楼机房的通信工艺和机电配套专业要求。建筑空间应紧凑，提高空间利用率。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60" w:type="dxa"/>
          <w:bottom w:w="120" w:type="dxa"/>
          <w:right w:w="60" w:type="dxa"/>
        </w:tblCellMar>
        <w:tblLook w:val="04A0" w:firstRow="1" w:lastRow="0" w:firstColumn="1" w:lastColumn="0" w:noHBand="0" w:noVBand="1"/>
      </w:tblPr>
      <w:tblGrid>
        <w:gridCol w:w="1825"/>
        <w:gridCol w:w="667"/>
        <w:gridCol w:w="1659"/>
        <w:gridCol w:w="641"/>
        <w:gridCol w:w="658"/>
        <w:gridCol w:w="839"/>
        <w:gridCol w:w="839"/>
        <w:gridCol w:w="850"/>
        <w:gridCol w:w="1446"/>
      </w:tblGrid>
      <w:tr w:rsidR="00616558" w:rsidRPr="0045498A" w14:paraId="2808A717" w14:textId="77777777">
        <w:trPr>
          <w:trHeight w:val="467"/>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2A34658C"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一期楼栋</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72883AD"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层数</w:t>
            </w:r>
          </w:p>
        </w:tc>
        <w:tc>
          <w:tcPr>
            <w:tcW w:w="1659" w:type="dxa"/>
            <w:vMerge w:val="restart"/>
            <w:tcBorders>
              <w:top w:val="single" w:sz="4" w:space="0" w:color="auto"/>
              <w:left w:val="single" w:sz="4" w:space="0" w:color="auto"/>
              <w:bottom w:val="single" w:sz="4" w:space="0" w:color="auto"/>
              <w:right w:val="single" w:sz="4" w:space="0" w:color="auto"/>
            </w:tcBorders>
            <w:vAlign w:val="center"/>
          </w:tcPr>
          <w:p w14:paraId="28505931"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层高分布</w:t>
            </w:r>
          </w:p>
          <w:p w14:paraId="2D7A825F"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（m）</w:t>
            </w:r>
          </w:p>
        </w:tc>
        <w:tc>
          <w:tcPr>
            <w:tcW w:w="641" w:type="dxa"/>
            <w:vMerge w:val="restart"/>
            <w:tcBorders>
              <w:top w:val="single" w:sz="4" w:space="0" w:color="auto"/>
              <w:left w:val="single" w:sz="4" w:space="0" w:color="auto"/>
              <w:bottom w:val="single" w:sz="4" w:space="0" w:color="auto"/>
              <w:right w:val="single" w:sz="4" w:space="0" w:color="auto"/>
            </w:tcBorders>
            <w:vAlign w:val="center"/>
          </w:tcPr>
          <w:p w14:paraId="4FE83A9F"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建筑高度(m)</w:t>
            </w:r>
          </w:p>
        </w:tc>
        <w:tc>
          <w:tcPr>
            <w:tcW w:w="658" w:type="dxa"/>
            <w:vMerge w:val="restart"/>
            <w:tcBorders>
              <w:top w:val="single" w:sz="4" w:space="0" w:color="auto"/>
              <w:left w:val="single" w:sz="4" w:space="0" w:color="auto"/>
              <w:bottom w:val="single" w:sz="4" w:space="0" w:color="auto"/>
              <w:right w:val="single" w:sz="4" w:space="0" w:color="auto"/>
            </w:tcBorders>
            <w:vAlign w:val="center"/>
          </w:tcPr>
          <w:p w14:paraId="1B1DC3E0"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基底面积</w:t>
            </w:r>
          </w:p>
          <w:p w14:paraId="5FF0213E"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w:t>
            </w:r>
          </w:p>
        </w:tc>
        <w:tc>
          <w:tcPr>
            <w:tcW w:w="839" w:type="dxa"/>
            <w:vMerge w:val="restart"/>
            <w:tcBorders>
              <w:top w:val="single" w:sz="4" w:space="0" w:color="auto"/>
              <w:left w:val="single" w:sz="4" w:space="0" w:color="auto"/>
              <w:bottom w:val="single" w:sz="4" w:space="0" w:color="auto"/>
              <w:right w:val="single" w:sz="4" w:space="0" w:color="auto"/>
            </w:tcBorders>
            <w:vAlign w:val="center"/>
          </w:tcPr>
          <w:p w14:paraId="1A38428F"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地上建筑面积（㎡）</w:t>
            </w:r>
          </w:p>
        </w:tc>
        <w:tc>
          <w:tcPr>
            <w:tcW w:w="839" w:type="dxa"/>
            <w:vMerge w:val="restart"/>
            <w:tcBorders>
              <w:top w:val="single" w:sz="4" w:space="0" w:color="auto"/>
              <w:left w:val="single" w:sz="4" w:space="0" w:color="auto"/>
              <w:bottom w:val="single" w:sz="4" w:space="0" w:color="auto"/>
              <w:right w:val="single" w:sz="4" w:space="0" w:color="auto"/>
            </w:tcBorders>
            <w:vAlign w:val="center"/>
          </w:tcPr>
          <w:p w14:paraId="7B5E252A"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地下建筑面积（㎡）</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5C4A575"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总建筑面积（㎡）</w:t>
            </w:r>
          </w:p>
        </w:tc>
        <w:tc>
          <w:tcPr>
            <w:tcW w:w="1446" w:type="dxa"/>
            <w:vMerge w:val="restart"/>
            <w:tcBorders>
              <w:top w:val="single" w:sz="4" w:space="0" w:color="auto"/>
              <w:left w:val="single" w:sz="4" w:space="0" w:color="auto"/>
              <w:bottom w:val="single" w:sz="4" w:space="0" w:color="auto"/>
              <w:right w:val="single" w:sz="4" w:space="0" w:color="auto"/>
            </w:tcBorders>
            <w:vAlign w:val="center"/>
          </w:tcPr>
          <w:p w14:paraId="440C543E"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轮廓尺寸（长*宽）</w:t>
            </w:r>
          </w:p>
        </w:tc>
      </w:tr>
      <w:tr w:rsidR="00616558" w:rsidRPr="0045498A" w14:paraId="57CFB6E0" w14:textId="77777777">
        <w:trPr>
          <w:trHeight w:val="467"/>
        </w:trPr>
        <w:tc>
          <w:tcPr>
            <w:tcW w:w="1825" w:type="dxa"/>
            <w:vMerge/>
            <w:tcBorders>
              <w:top w:val="single" w:sz="4" w:space="0" w:color="auto"/>
              <w:left w:val="single" w:sz="4" w:space="0" w:color="auto"/>
              <w:bottom w:val="single" w:sz="4" w:space="0" w:color="auto"/>
              <w:right w:val="single" w:sz="4" w:space="0" w:color="auto"/>
            </w:tcBorders>
            <w:vAlign w:val="center"/>
          </w:tcPr>
          <w:p w14:paraId="6EFEEBA7" w14:textId="77777777" w:rsidR="00616558" w:rsidRPr="0045498A" w:rsidRDefault="00616558">
            <w:pPr>
              <w:snapToGrid w:val="0"/>
              <w:spacing w:line="360" w:lineRule="auto"/>
              <w:jc w:val="center"/>
              <w:rPr>
                <w:rFonts w:ascii="宋体" w:hAnsi="宋体"/>
                <w:sz w:val="24"/>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4A35EC1" w14:textId="77777777" w:rsidR="00616558" w:rsidRPr="0045498A" w:rsidRDefault="00616558">
            <w:pPr>
              <w:snapToGrid w:val="0"/>
              <w:spacing w:line="360" w:lineRule="auto"/>
              <w:jc w:val="center"/>
              <w:rPr>
                <w:rFonts w:ascii="宋体" w:hAnsi="宋体"/>
                <w:sz w:val="24"/>
              </w:rPr>
            </w:pPr>
          </w:p>
        </w:tc>
        <w:tc>
          <w:tcPr>
            <w:tcW w:w="1659" w:type="dxa"/>
            <w:vMerge/>
            <w:tcBorders>
              <w:top w:val="single" w:sz="4" w:space="0" w:color="auto"/>
              <w:left w:val="single" w:sz="4" w:space="0" w:color="auto"/>
              <w:bottom w:val="single" w:sz="4" w:space="0" w:color="auto"/>
              <w:right w:val="single" w:sz="4" w:space="0" w:color="auto"/>
            </w:tcBorders>
            <w:vAlign w:val="center"/>
          </w:tcPr>
          <w:p w14:paraId="4A76D9F8" w14:textId="77777777" w:rsidR="00616558" w:rsidRPr="0045498A" w:rsidRDefault="00616558">
            <w:pPr>
              <w:snapToGrid w:val="0"/>
              <w:spacing w:line="360" w:lineRule="auto"/>
              <w:jc w:val="center"/>
              <w:rPr>
                <w:rFonts w:ascii="宋体" w:hAnsi="宋体"/>
                <w:sz w:val="24"/>
              </w:rPr>
            </w:pPr>
          </w:p>
        </w:tc>
        <w:tc>
          <w:tcPr>
            <w:tcW w:w="641" w:type="dxa"/>
            <w:vMerge/>
            <w:tcBorders>
              <w:top w:val="single" w:sz="4" w:space="0" w:color="auto"/>
              <w:left w:val="single" w:sz="4" w:space="0" w:color="auto"/>
              <w:bottom w:val="single" w:sz="4" w:space="0" w:color="auto"/>
              <w:right w:val="single" w:sz="4" w:space="0" w:color="auto"/>
            </w:tcBorders>
            <w:vAlign w:val="center"/>
          </w:tcPr>
          <w:p w14:paraId="4C94E05A" w14:textId="77777777" w:rsidR="00616558" w:rsidRPr="0045498A" w:rsidRDefault="00616558">
            <w:pPr>
              <w:snapToGrid w:val="0"/>
              <w:spacing w:line="360" w:lineRule="auto"/>
              <w:jc w:val="center"/>
              <w:rPr>
                <w:rFonts w:ascii="宋体" w:hAnsi="宋体"/>
                <w:sz w:val="24"/>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066FADB2" w14:textId="77777777" w:rsidR="00616558" w:rsidRPr="0045498A" w:rsidRDefault="00616558">
            <w:pPr>
              <w:snapToGrid w:val="0"/>
              <w:spacing w:line="360" w:lineRule="auto"/>
              <w:jc w:val="center"/>
              <w:rPr>
                <w:rFonts w:ascii="宋体" w:hAnsi="宋体"/>
                <w:sz w:val="24"/>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56746B5" w14:textId="77777777" w:rsidR="00616558" w:rsidRPr="0045498A" w:rsidRDefault="00616558">
            <w:pPr>
              <w:snapToGrid w:val="0"/>
              <w:spacing w:line="360" w:lineRule="auto"/>
              <w:jc w:val="center"/>
              <w:rPr>
                <w:rFonts w:ascii="宋体" w:hAnsi="宋体"/>
                <w:sz w:val="24"/>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6103457" w14:textId="77777777" w:rsidR="00616558" w:rsidRPr="0045498A" w:rsidRDefault="00616558">
            <w:pPr>
              <w:snapToGrid w:val="0"/>
              <w:spacing w:line="360" w:lineRule="auto"/>
              <w:jc w:val="center"/>
              <w:rPr>
                <w:rFonts w:ascii="宋体" w:hAnsi="宋体"/>
                <w:sz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6B4DC5A" w14:textId="77777777" w:rsidR="00616558" w:rsidRPr="0045498A" w:rsidRDefault="00616558">
            <w:pPr>
              <w:snapToGrid w:val="0"/>
              <w:spacing w:line="360" w:lineRule="auto"/>
              <w:jc w:val="center"/>
              <w:rPr>
                <w:rFonts w:ascii="宋体" w:hAnsi="宋体"/>
                <w:sz w:val="24"/>
              </w:rPr>
            </w:pPr>
          </w:p>
        </w:tc>
        <w:tc>
          <w:tcPr>
            <w:tcW w:w="1446" w:type="dxa"/>
            <w:vMerge/>
            <w:tcBorders>
              <w:top w:val="single" w:sz="4" w:space="0" w:color="auto"/>
              <w:left w:val="single" w:sz="4" w:space="0" w:color="auto"/>
              <w:bottom w:val="single" w:sz="4" w:space="0" w:color="auto"/>
              <w:right w:val="single" w:sz="4" w:space="0" w:color="auto"/>
            </w:tcBorders>
            <w:vAlign w:val="center"/>
          </w:tcPr>
          <w:p w14:paraId="33762E01" w14:textId="77777777" w:rsidR="00616558" w:rsidRPr="0045498A" w:rsidRDefault="00616558">
            <w:pPr>
              <w:snapToGrid w:val="0"/>
              <w:spacing w:line="360" w:lineRule="auto"/>
              <w:jc w:val="center"/>
              <w:rPr>
                <w:rFonts w:ascii="宋体" w:hAnsi="宋体"/>
                <w:sz w:val="24"/>
              </w:rPr>
            </w:pPr>
          </w:p>
        </w:tc>
      </w:tr>
      <w:tr w:rsidR="00616558" w:rsidRPr="0045498A" w14:paraId="16A48DB9" w14:textId="77777777">
        <w:trPr>
          <w:trHeight w:val="360"/>
        </w:trPr>
        <w:tc>
          <w:tcPr>
            <w:tcW w:w="1825" w:type="dxa"/>
            <w:tcBorders>
              <w:top w:val="single" w:sz="4" w:space="0" w:color="auto"/>
              <w:left w:val="single" w:sz="4" w:space="0" w:color="auto"/>
              <w:bottom w:val="single" w:sz="4" w:space="0" w:color="auto"/>
              <w:right w:val="single" w:sz="4" w:space="0" w:color="auto"/>
            </w:tcBorders>
            <w:vAlign w:val="center"/>
          </w:tcPr>
          <w:p w14:paraId="56A79966"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A</w:t>
            </w:r>
            <w:r w:rsidRPr="0045498A">
              <w:rPr>
                <w:rFonts w:ascii="宋体" w:hAnsi="宋体" w:hint="eastAsia"/>
                <w:sz w:val="24"/>
              </w:rPr>
              <w:t>2</w:t>
            </w:r>
            <w:r w:rsidRPr="0045498A">
              <w:rPr>
                <w:rFonts w:ascii="宋体" w:hAnsi="宋体"/>
                <w:sz w:val="24"/>
              </w:rPr>
              <w:t>通信机楼</w:t>
            </w:r>
          </w:p>
        </w:tc>
        <w:tc>
          <w:tcPr>
            <w:tcW w:w="667" w:type="dxa"/>
            <w:tcBorders>
              <w:top w:val="single" w:sz="4" w:space="0" w:color="auto"/>
              <w:left w:val="single" w:sz="4" w:space="0" w:color="auto"/>
              <w:bottom w:val="single" w:sz="4" w:space="0" w:color="auto"/>
              <w:right w:val="single" w:sz="4" w:space="0" w:color="auto"/>
            </w:tcBorders>
            <w:vAlign w:val="center"/>
          </w:tcPr>
          <w:p w14:paraId="76B4B8B7"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4F</w:t>
            </w:r>
          </w:p>
        </w:tc>
        <w:tc>
          <w:tcPr>
            <w:tcW w:w="1659" w:type="dxa"/>
            <w:tcBorders>
              <w:top w:val="single" w:sz="4" w:space="0" w:color="auto"/>
              <w:left w:val="single" w:sz="4" w:space="0" w:color="auto"/>
              <w:bottom w:val="single" w:sz="4" w:space="0" w:color="auto"/>
              <w:right w:val="single" w:sz="4" w:space="0" w:color="auto"/>
            </w:tcBorders>
            <w:vAlign w:val="center"/>
          </w:tcPr>
          <w:p w14:paraId="0E1F3C72"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6+5.4</w:t>
            </w:r>
            <w:r w:rsidRPr="0045498A">
              <w:rPr>
                <w:rFonts w:ascii="宋体" w:hAnsi="宋体" w:hint="eastAsia"/>
                <w:sz w:val="24"/>
              </w:rPr>
              <w:t>x3</w:t>
            </w:r>
          </w:p>
        </w:tc>
        <w:tc>
          <w:tcPr>
            <w:tcW w:w="641" w:type="dxa"/>
            <w:tcBorders>
              <w:top w:val="single" w:sz="4" w:space="0" w:color="auto"/>
              <w:left w:val="single" w:sz="4" w:space="0" w:color="auto"/>
              <w:bottom w:val="single" w:sz="4" w:space="0" w:color="auto"/>
              <w:right w:val="single" w:sz="4" w:space="0" w:color="auto"/>
            </w:tcBorders>
            <w:vAlign w:val="center"/>
          </w:tcPr>
          <w:p w14:paraId="49690D2C"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23.</w:t>
            </w:r>
            <w:r w:rsidRPr="0045498A">
              <w:rPr>
                <w:rFonts w:ascii="宋体" w:hAnsi="宋体" w:hint="eastAsia"/>
                <w:sz w:val="24"/>
              </w:rPr>
              <w:t>4</w:t>
            </w:r>
          </w:p>
        </w:tc>
        <w:tc>
          <w:tcPr>
            <w:tcW w:w="658" w:type="dxa"/>
            <w:tcBorders>
              <w:top w:val="single" w:sz="4" w:space="0" w:color="auto"/>
              <w:left w:val="single" w:sz="4" w:space="0" w:color="auto"/>
              <w:bottom w:val="single" w:sz="4" w:space="0" w:color="auto"/>
              <w:right w:val="single" w:sz="4" w:space="0" w:color="auto"/>
            </w:tcBorders>
            <w:vAlign w:val="center"/>
          </w:tcPr>
          <w:p w14:paraId="5E2B3E9A"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4717</w:t>
            </w:r>
          </w:p>
        </w:tc>
        <w:tc>
          <w:tcPr>
            <w:tcW w:w="839" w:type="dxa"/>
            <w:tcBorders>
              <w:top w:val="single" w:sz="4" w:space="0" w:color="auto"/>
              <w:left w:val="single" w:sz="4" w:space="0" w:color="auto"/>
              <w:bottom w:val="single" w:sz="4" w:space="0" w:color="auto"/>
              <w:right w:val="single" w:sz="4" w:space="0" w:color="auto"/>
            </w:tcBorders>
            <w:vAlign w:val="center"/>
          </w:tcPr>
          <w:p w14:paraId="3C0D902F"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19735</w:t>
            </w:r>
          </w:p>
        </w:tc>
        <w:tc>
          <w:tcPr>
            <w:tcW w:w="839" w:type="dxa"/>
            <w:tcBorders>
              <w:top w:val="single" w:sz="4" w:space="0" w:color="auto"/>
              <w:left w:val="single" w:sz="4" w:space="0" w:color="auto"/>
              <w:bottom w:val="single" w:sz="4" w:space="0" w:color="auto"/>
              <w:right w:val="single" w:sz="4" w:space="0" w:color="auto"/>
            </w:tcBorders>
            <w:vAlign w:val="center"/>
          </w:tcPr>
          <w:p w14:paraId="6F6126AD"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0</w:t>
            </w:r>
          </w:p>
        </w:tc>
        <w:tc>
          <w:tcPr>
            <w:tcW w:w="850" w:type="dxa"/>
            <w:tcBorders>
              <w:top w:val="single" w:sz="4" w:space="0" w:color="auto"/>
              <w:left w:val="single" w:sz="4" w:space="0" w:color="auto"/>
              <w:bottom w:val="single" w:sz="4" w:space="0" w:color="auto"/>
              <w:right w:val="single" w:sz="4" w:space="0" w:color="auto"/>
            </w:tcBorders>
            <w:vAlign w:val="center"/>
          </w:tcPr>
          <w:p w14:paraId="7D159F40"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19735</w:t>
            </w:r>
          </w:p>
        </w:tc>
        <w:tc>
          <w:tcPr>
            <w:tcW w:w="1446" w:type="dxa"/>
            <w:tcBorders>
              <w:top w:val="single" w:sz="4" w:space="0" w:color="auto"/>
              <w:left w:val="single" w:sz="4" w:space="0" w:color="auto"/>
              <w:bottom w:val="single" w:sz="4" w:space="0" w:color="auto"/>
              <w:right w:val="single" w:sz="4" w:space="0" w:color="auto"/>
            </w:tcBorders>
            <w:vAlign w:val="center"/>
          </w:tcPr>
          <w:p w14:paraId="418B4360"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86.4m*54.6m</w:t>
            </w:r>
          </w:p>
        </w:tc>
      </w:tr>
      <w:tr w:rsidR="00616558" w:rsidRPr="0045498A" w14:paraId="274315AF" w14:textId="77777777">
        <w:trPr>
          <w:trHeight w:val="360"/>
        </w:trPr>
        <w:tc>
          <w:tcPr>
            <w:tcW w:w="1825" w:type="dxa"/>
            <w:tcBorders>
              <w:top w:val="single" w:sz="4" w:space="0" w:color="auto"/>
              <w:left w:val="single" w:sz="4" w:space="0" w:color="auto"/>
              <w:bottom w:val="single" w:sz="4" w:space="0" w:color="auto"/>
              <w:right w:val="single" w:sz="4" w:space="0" w:color="auto"/>
            </w:tcBorders>
            <w:vAlign w:val="center"/>
          </w:tcPr>
          <w:p w14:paraId="41DDAF80"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C1</w:t>
            </w:r>
            <w:r w:rsidRPr="0045498A">
              <w:rPr>
                <w:rFonts w:ascii="宋体" w:hAnsi="宋体"/>
                <w:sz w:val="24"/>
              </w:rPr>
              <w:t>动力中心</w:t>
            </w:r>
          </w:p>
        </w:tc>
        <w:tc>
          <w:tcPr>
            <w:tcW w:w="667" w:type="dxa"/>
            <w:tcBorders>
              <w:top w:val="single" w:sz="4" w:space="0" w:color="auto"/>
              <w:left w:val="single" w:sz="4" w:space="0" w:color="auto"/>
              <w:bottom w:val="single" w:sz="4" w:space="0" w:color="auto"/>
              <w:right w:val="single" w:sz="4" w:space="0" w:color="auto"/>
            </w:tcBorders>
            <w:vAlign w:val="center"/>
          </w:tcPr>
          <w:p w14:paraId="70A28B4D"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3F</w:t>
            </w:r>
          </w:p>
        </w:tc>
        <w:tc>
          <w:tcPr>
            <w:tcW w:w="1659" w:type="dxa"/>
            <w:tcBorders>
              <w:top w:val="single" w:sz="4" w:space="0" w:color="auto"/>
              <w:left w:val="single" w:sz="4" w:space="0" w:color="auto"/>
              <w:bottom w:val="single" w:sz="4" w:space="0" w:color="auto"/>
              <w:right w:val="single" w:sz="4" w:space="0" w:color="auto"/>
            </w:tcBorders>
            <w:vAlign w:val="center"/>
          </w:tcPr>
          <w:p w14:paraId="26C705F4"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6+7+7</w:t>
            </w:r>
          </w:p>
        </w:tc>
        <w:tc>
          <w:tcPr>
            <w:tcW w:w="641" w:type="dxa"/>
            <w:tcBorders>
              <w:top w:val="single" w:sz="4" w:space="0" w:color="auto"/>
              <w:left w:val="single" w:sz="4" w:space="0" w:color="auto"/>
              <w:bottom w:val="single" w:sz="4" w:space="0" w:color="auto"/>
              <w:right w:val="single" w:sz="4" w:space="0" w:color="auto"/>
            </w:tcBorders>
            <w:vAlign w:val="center"/>
          </w:tcPr>
          <w:p w14:paraId="3C3C3A95"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2</w:t>
            </w:r>
            <w:r w:rsidRPr="0045498A">
              <w:rPr>
                <w:rFonts w:ascii="宋体" w:hAnsi="宋体" w:hint="eastAsia"/>
                <w:sz w:val="24"/>
              </w:rPr>
              <w:t>1.5</w:t>
            </w:r>
          </w:p>
        </w:tc>
        <w:tc>
          <w:tcPr>
            <w:tcW w:w="658" w:type="dxa"/>
            <w:tcBorders>
              <w:top w:val="single" w:sz="4" w:space="0" w:color="auto"/>
              <w:left w:val="single" w:sz="4" w:space="0" w:color="auto"/>
              <w:bottom w:val="single" w:sz="4" w:space="0" w:color="auto"/>
              <w:right w:val="single" w:sz="4" w:space="0" w:color="auto"/>
            </w:tcBorders>
            <w:vAlign w:val="center"/>
          </w:tcPr>
          <w:p w14:paraId="6DA030E8"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1</w:t>
            </w:r>
            <w:r w:rsidRPr="0045498A">
              <w:rPr>
                <w:rFonts w:ascii="宋体" w:hAnsi="宋体" w:hint="eastAsia"/>
                <w:sz w:val="24"/>
              </w:rPr>
              <w:t>528</w:t>
            </w:r>
          </w:p>
        </w:tc>
        <w:tc>
          <w:tcPr>
            <w:tcW w:w="839" w:type="dxa"/>
            <w:tcBorders>
              <w:top w:val="single" w:sz="4" w:space="0" w:color="auto"/>
              <w:left w:val="single" w:sz="4" w:space="0" w:color="auto"/>
              <w:bottom w:val="single" w:sz="4" w:space="0" w:color="auto"/>
              <w:right w:val="single" w:sz="4" w:space="0" w:color="auto"/>
            </w:tcBorders>
            <w:vAlign w:val="center"/>
          </w:tcPr>
          <w:p w14:paraId="358118C3"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3</w:t>
            </w:r>
            <w:r w:rsidRPr="0045498A">
              <w:rPr>
                <w:rFonts w:ascii="宋体" w:hAnsi="宋体" w:hint="eastAsia"/>
                <w:sz w:val="24"/>
              </w:rPr>
              <w:t>836</w:t>
            </w:r>
          </w:p>
        </w:tc>
        <w:tc>
          <w:tcPr>
            <w:tcW w:w="839" w:type="dxa"/>
            <w:tcBorders>
              <w:top w:val="single" w:sz="4" w:space="0" w:color="auto"/>
              <w:left w:val="single" w:sz="4" w:space="0" w:color="auto"/>
              <w:bottom w:val="single" w:sz="4" w:space="0" w:color="auto"/>
              <w:right w:val="single" w:sz="4" w:space="0" w:color="auto"/>
            </w:tcBorders>
            <w:vAlign w:val="center"/>
          </w:tcPr>
          <w:p w14:paraId="349FBAA5"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0</w:t>
            </w:r>
          </w:p>
        </w:tc>
        <w:tc>
          <w:tcPr>
            <w:tcW w:w="850" w:type="dxa"/>
            <w:tcBorders>
              <w:top w:val="single" w:sz="4" w:space="0" w:color="auto"/>
              <w:left w:val="single" w:sz="4" w:space="0" w:color="auto"/>
              <w:bottom w:val="single" w:sz="4" w:space="0" w:color="auto"/>
              <w:right w:val="single" w:sz="4" w:space="0" w:color="auto"/>
            </w:tcBorders>
            <w:vAlign w:val="center"/>
          </w:tcPr>
          <w:p w14:paraId="6EC8228E"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3</w:t>
            </w:r>
            <w:r w:rsidRPr="0045498A">
              <w:rPr>
                <w:rFonts w:ascii="宋体" w:hAnsi="宋体" w:hint="eastAsia"/>
                <w:sz w:val="24"/>
              </w:rPr>
              <w:t>836</w:t>
            </w:r>
          </w:p>
        </w:tc>
        <w:tc>
          <w:tcPr>
            <w:tcW w:w="1446" w:type="dxa"/>
            <w:tcBorders>
              <w:top w:val="single" w:sz="4" w:space="0" w:color="auto"/>
              <w:left w:val="single" w:sz="4" w:space="0" w:color="auto"/>
              <w:bottom w:val="single" w:sz="4" w:space="0" w:color="auto"/>
              <w:right w:val="single" w:sz="4" w:space="0" w:color="auto"/>
            </w:tcBorders>
            <w:vAlign w:val="center"/>
          </w:tcPr>
          <w:p w14:paraId="0EE2A0E4"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80.4</w:t>
            </w:r>
            <w:r w:rsidRPr="0045498A">
              <w:rPr>
                <w:rFonts w:ascii="宋体" w:hAnsi="宋体"/>
                <w:sz w:val="24"/>
              </w:rPr>
              <w:t>m*19m</w:t>
            </w:r>
          </w:p>
        </w:tc>
      </w:tr>
      <w:tr w:rsidR="00616558" w:rsidRPr="0045498A" w14:paraId="22A7CB7C" w14:textId="77777777">
        <w:trPr>
          <w:trHeight w:val="360"/>
        </w:trPr>
        <w:tc>
          <w:tcPr>
            <w:tcW w:w="1825" w:type="dxa"/>
            <w:tcBorders>
              <w:top w:val="single" w:sz="4" w:space="0" w:color="auto"/>
              <w:left w:val="single" w:sz="4" w:space="0" w:color="auto"/>
              <w:bottom w:val="single" w:sz="4" w:space="0" w:color="auto"/>
              <w:right w:val="single" w:sz="4" w:space="0" w:color="auto"/>
            </w:tcBorders>
            <w:vAlign w:val="center"/>
          </w:tcPr>
          <w:p w14:paraId="53A39FA8"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B1运</w:t>
            </w:r>
            <w:proofErr w:type="gramStart"/>
            <w:r w:rsidRPr="0045498A">
              <w:rPr>
                <w:rFonts w:ascii="宋体" w:hAnsi="宋体"/>
                <w:sz w:val="24"/>
              </w:rPr>
              <w:t>维保障</w:t>
            </w:r>
            <w:proofErr w:type="gramEnd"/>
            <w:r w:rsidRPr="0045498A">
              <w:rPr>
                <w:rFonts w:ascii="宋体" w:hAnsi="宋体"/>
                <w:sz w:val="24"/>
              </w:rPr>
              <w:t>中心</w:t>
            </w:r>
          </w:p>
        </w:tc>
        <w:tc>
          <w:tcPr>
            <w:tcW w:w="667" w:type="dxa"/>
            <w:tcBorders>
              <w:top w:val="single" w:sz="4" w:space="0" w:color="auto"/>
              <w:left w:val="single" w:sz="4" w:space="0" w:color="auto"/>
              <w:bottom w:val="single" w:sz="4" w:space="0" w:color="auto"/>
              <w:right w:val="single" w:sz="4" w:space="0" w:color="auto"/>
            </w:tcBorders>
            <w:vAlign w:val="center"/>
          </w:tcPr>
          <w:p w14:paraId="4730DC01"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2</w:t>
            </w:r>
            <w:r w:rsidRPr="0045498A">
              <w:rPr>
                <w:rFonts w:ascii="宋体" w:hAnsi="宋体"/>
                <w:sz w:val="24"/>
              </w:rPr>
              <w:t>F</w:t>
            </w:r>
          </w:p>
        </w:tc>
        <w:tc>
          <w:tcPr>
            <w:tcW w:w="1659" w:type="dxa"/>
            <w:tcBorders>
              <w:top w:val="single" w:sz="4" w:space="0" w:color="auto"/>
              <w:left w:val="single" w:sz="4" w:space="0" w:color="auto"/>
              <w:bottom w:val="single" w:sz="4" w:space="0" w:color="auto"/>
              <w:right w:val="single" w:sz="4" w:space="0" w:color="auto"/>
            </w:tcBorders>
            <w:vAlign w:val="center"/>
          </w:tcPr>
          <w:p w14:paraId="3874E263"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4.5</w:t>
            </w:r>
            <w:r w:rsidRPr="0045498A">
              <w:rPr>
                <w:rFonts w:ascii="宋体" w:hAnsi="宋体"/>
                <w:sz w:val="24"/>
              </w:rPr>
              <w:t>+4.</w:t>
            </w:r>
            <w:r w:rsidRPr="0045498A">
              <w:rPr>
                <w:rFonts w:ascii="宋体" w:hAnsi="宋体" w:hint="eastAsia"/>
                <w:sz w:val="24"/>
              </w:rPr>
              <w:t>5</w:t>
            </w:r>
          </w:p>
        </w:tc>
        <w:tc>
          <w:tcPr>
            <w:tcW w:w="641" w:type="dxa"/>
            <w:tcBorders>
              <w:top w:val="single" w:sz="4" w:space="0" w:color="auto"/>
              <w:left w:val="single" w:sz="4" w:space="0" w:color="auto"/>
              <w:bottom w:val="single" w:sz="4" w:space="0" w:color="auto"/>
              <w:right w:val="single" w:sz="4" w:space="0" w:color="auto"/>
            </w:tcBorders>
            <w:vAlign w:val="center"/>
          </w:tcPr>
          <w:p w14:paraId="771DC980"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10.7</w:t>
            </w:r>
          </w:p>
        </w:tc>
        <w:tc>
          <w:tcPr>
            <w:tcW w:w="658" w:type="dxa"/>
            <w:tcBorders>
              <w:top w:val="single" w:sz="4" w:space="0" w:color="auto"/>
              <w:left w:val="single" w:sz="4" w:space="0" w:color="auto"/>
              <w:bottom w:val="single" w:sz="4" w:space="0" w:color="auto"/>
              <w:right w:val="single" w:sz="4" w:space="0" w:color="auto"/>
            </w:tcBorders>
            <w:vAlign w:val="center"/>
          </w:tcPr>
          <w:p w14:paraId="4CC83606"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1650</w:t>
            </w:r>
          </w:p>
        </w:tc>
        <w:tc>
          <w:tcPr>
            <w:tcW w:w="839" w:type="dxa"/>
            <w:tcBorders>
              <w:top w:val="single" w:sz="4" w:space="0" w:color="auto"/>
              <w:left w:val="single" w:sz="4" w:space="0" w:color="auto"/>
              <w:bottom w:val="single" w:sz="4" w:space="0" w:color="auto"/>
              <w:right w:val="single" w:sz="4" w:space="0" w:color="auto"/>
            </w:tcBorders>
            <w:vAlign w:val="center"/>
          </w:tcPr>
          <w:p w14:paraId="37CD6E34"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3400</w:t>
            </w:r>
          </w:p>
        </w:tc>
        <w:tc>
          <w:tcPr>
            <w:tcW w:w="839" w:type="dxa"/>
            <w:tcBorders>
              <w:top w:val="single" w:sz="4" w:space="0" w:color="auto"/>
              <w:left w:val="single" w:sz="4" w:space="0" w:color="auto"/>
              <w:bottom w:val="single" w:sz="4" w:space="0" w:color="auto"/>
              <w:right w:val="single" w:sz="4" w:space="0" w:color="auto"/>
            </w:tcBorders>
            <w:vAlign w:val="center"/>
          </w:tcPr>
          <w:p w14:paraId="5F099B8D"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0</w:t>
            </w:r>
          </w:p>
        </w:tc>
        <w:tc>
          <w:tcPr>
            <w:tcW w:w="850" w:type="dxa"/>
            <w:tcBorders>
              <w:top w:val="single" w:sz="4" w:space="0" w:color="auto"/>
              <w:left w:val="single" w:sz="4" w:space="0" w:color="auto"/>
              <w:bottom w:val="single" w:sz="4" w:space="0" w:color="auto"/>
              <w:right w:val="single" w:sz="4" w:space="0" w:color="auto"/>
            </w:tcBorders>
            <w:vAlign w:val="center"/>
          </w:tcPr>
          <w:p w14:paraId="0EA16830"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3400</w:t>
            </w:r>
          </w:p>
        </w:tc>
        <w:tc>
          <w:tcPr>
            <w:tcW w:w="1446" w:type="dxa"/>
            <w:tcBorders>
              <w:top w:val="single" w:sz="4" w:space="0" w:color="auto"/>
              <w:left w:val="single" w:sz="4" w:space="0" w:color="auto"/>
              <w:bottom w:val="single" w:sz="4" w:space="0" w:color="auto"/>
              <w:right w:val="single" w:sz="4" w:space="0" w:color="auto"/>
            </w:tcBorders>
            <w:vAlign w:val="center"/>
          </w:tcPr>
          <w:p w14:paraId="6126A57E" w14:textId="77777777" w:rsidR="00616558" w:rsidRPr="0045498A" w:rsidRDefault="00616558">
            <w:pPr>
              <w:snapToGrid w:val="0"/>
              <w:spacing w:line="360" w:lineRule="auto"/>
              <w:jc w:val="center"/>
              <w:rPr>
                <w:rFonts w:ascii="宋体" w:hAnsi="宋体"/>
                <w:sz w:val="24"/>
              </w:rPr>
            </w:pPr>
          </w:p>
        </w:tc>
      </w:tr>
      <w:tr w:rsidR="00616558" w:rsidRPr="0045498A" w14:paraId="53839FBE" w14:textId="77777777">
        <w:trPr>
          <w:trHeight w:val="360"/>
        </w:trPr>
        <w:tc>
          <w:tcPr>
            <w:tcW w:w="1825" w:type="dxa"/>
            <w:tcBorders>
              <w:top w:val="single" w:sz="4" w:space="0" w:color="auto"/>
              <w:left w:val="single" w:sz="4" w:space="0" w:color="auto"/>
              <w:bottom w:val="single" w:sz="4" w:space="0" w:color="auto"/>
              <w:right w:val="single" w:sz="4" w:space="0" w:color="auto"/>
            </w:tcBorders>
            <w:vAlign w:val="center"/>
          </w:tcPr>
          <w:p w14:paraId="1A361F6D"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合计</w:t>
            </w:r>
          </w:p>
        </w:tc>
        <w:tc>
          <w:tcPr>
            <w:tcW w:w="667" w:type="dxa"/>
            <w:tcBorders>
              <w:top w:val="single" w:sz="4" w:space="0" w:color="auto"/>
              <w:left w:val="single" w:sz="4" w:space="0" w:color="auto"/>
              <w:bottom w:val="single" w:sz="4" w:space="0" w:color="auto"/>
              <w:right w:val="single" w:sz="4" w:space="0" w:color="auto"/>
            </w:tcBorders>
            <w:vAlign w:val="center"/>
          </w:tcPr>
          <w:p w14:paraId="29606819"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w:t>
            </w:r>
          </w:p>
        </w:tc>
        <w:tc>
          <w:tcPr>
            <w:tcW w:w="1659" w:type="dxa"/>
            <w:tcBorders>
              <w:top w:val="single" w:sz="4" w:space="0" w:color="auto"/>
              <w:left w:val="single" w:sz="4" w:space="0" w:color="auto"/>
              <w:bottom w:val="single" w:sz="4" w:space="0" w:color="auto"/>
              <w:right w:val="single" w:sz="4" w:space="0" w:color="auto"/>
            </w:tcBorders>
            <w:vAlign w:val="center"/>
          </w:tcPr>
          <w:p w14:paraId="72865634" w14:textId="77777777" w:rsidR="00616558" w:rsidRPr="0045498A" w:rsidRDefault="00616558">
            <w:pPr>
              <w:snapToGrid w:val="0"/>
              <w:spacing w:line="360" w:lineRule="auto"/>
              <w:jc w:val="center"/>
              <w:rPr>
                <w:rFonts w:ascii="宋体" w:hAnsi="宋体"/>
                <w:sz w:val="24"/>
              </w:rPr>
            </w:pPr>
          </w:p>
        </w:tc>
        <w:tc>
          <w:tcPr>
            <w:tcW w:w="641" w:type="dxa"/>
            <w:tcBorders>
              <w:top w:val="single" w:sz="4" w:space="0" w:color="auto"/>
              <w:left w:val="single" w:sz="4" w:space="0" w:color="auto"/>
              <w:bottom w:val="single" w:sz="4" w:space="0" w:color="auto"/>
              <w:right w:val="single" w:sz="4" w:space="0" w:color="auto"/>
            </w:tcBorders>
            <w:vAlign w:val="center"/>
          </w:tcPr>
          <w:p w14:paraId="26A601E7" w14:textId="77777777" w:rsidR="00616558" w:rsidRPr="0045498A" w:rsidRDefault="00616558">
            <w:pPr>
              <w:snapToGrid w:val="0"/>
              <w:spacing w:line="360" w:lineRule="auto"/>
              <w:jc w:val="center"/>
              <w:rPr>
                <w:rFonts w:ascii="宋体" w:hAnsi="宋体"/>
                <w:sz w:val="24"/>
              </w:rPr>
            </w:pPr>
          </w:p>
        </w:tc>
        <w:tc>
          <w:tcPr>
            <w:tcW w:w="658" w:type="dxa"/>
            <w:tcBorders>
              <w:top w:val="single" w:sz="4" w:space="0" w:color="auto"/>
              <w:left w:val="single" w:sz="4" w:space="0" w:color="auto"/>
              <w:bottom w:val="single" w:sz="4" w:space="0" w:color="auto"/>
              <w:right w:val="single" w:sz="4" w:space="0" w:color="auto"/>
            </w:tcBorders>
            <w:vAlign w:val="center"/>
          </w:tcPr>
          <w:p w14:paraId="49A3BBE1" w14:textId="77777777" w:rsidR="00616558" w:rsidRPr="0045498A" w:rsidRDefault="00616558">
            <w:pPr>
              <w:snapToGrid w:val="0"/>
              <w:spacing w:line="360" w:lineRule="auto"/>
              <w:jc w:val="center"/>
              <w:rPr>
                <w:rFonts w:ascii="宋体" w:hAnsi="宋体"/>
                <w:sz w:val="24"/>
              </w:rPr>
            </w:pPr>
          </w:p>
        </w:tc>
        <w:tc>
          <w:tcPr>
            <w:tcW w:w="839" w:type="dxa"/>
            <w:tcBorders>
              <w:top w:val="single" w:sz="4" w:space="0" w:color="auto"/>
              <w:left w:val="single" w:sz="4" w:space="0" w:color="auto"/>
              <w:bottom w:val="single" w:sz="4" w:space="0" w:color="auto"/>
              <w:right w:val="single" w:sz="4" w:space="0" w:color="auto"/>
            </w:tcBorders>
            <w:vAlign w:val="center"/>
          </w:tcPr>
          <w:p w14:paraId="296B9316"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26971</w:t>
            </w:r>
          </w:p>
        </w:tc>
        <w:tc>
          <w:tcPr>
            <w:tcW w:w="839" w:type="dxa"/>
            <w:tcBorders>
              <w:top w:val="single" w:sz="4" w:space="0" w:color="auto"/>
              <w:left w:val="single" w:sz="4" w:space="0" w:color="auto"/>
              <w:bottom w:val="single" w:sz="4" w:space="0" w:color="auto"/>
              <w:right w:val="single" w:sz="4" w:space="0" w:color="auto"/>
            </w:tcBorders>
            <w:vAlign w:val="center"/>
          </w:tcPr>
          <w:p w14:paraId="1EF67F7F" w14:textId="77777777" w:rsidR="00616558" w:rsidRPr="0045498A" w:rsidRDefault="00616558">
            <w:pPr>
              <w:snapToGrid w:val="0"/>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185F011" w14:textId="77777777" w:rsidR="00616558" w:rsidRPr="0045498A" w:rsidRDefault="00000000">
            <w:pPr>
              <w:snapToGrid w:val="0"/>
              <w:spacing w:line="360" w:lineRule="auto"/>
              <w:jc w:val="center"/>
              <w:rPr>
                <w:rFonts w:ascii="宋体" w:hAnsi="宋体"/>
                <w:sz w:val="24"/>
              </w:rPr>
            </w:pPr>
            <w:r w:rsidRPr="0045498A">
              <w:rPr>
                <w:rFonts w:ascii="宋体" w:hAnsi="宋体" w:hint="eastAsia"/>
                <w:sz w:val="24"/>
              </w:rPr>
              <w:t>26971</w:t>
            </w:r>
          </w:p>
        </w:tc>
        <w:tc>
          <w:tcPr>
            <w:tcW w:w="1446" w:type="dxa"/>
            <w:tcBorders>
              <w:top w:val="single" w:sz="4" w:space="0" w:color="auto"/>
              <w:left w:val="single" w:sz="4" w:space="0" w:color="auto"/>
              <w:bottom w:val="single" w:sz="4" w:space="0" w:color="auto"/>
              <w:right w:val="single" w:sz="4" w:space="0" w:color="auto"/>
            </w:tcBorders>
            <w:vAlign w:val="center"/>
          </w:tcPr>
          <w:p w14:paraId="3A57C093"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w:t>
            </w:r>
          </w:p>
        </w:tc>
      </w:tr>
      <w:tr w:rsidR="00616558" w:rsidRPr="0045498A" w14:paraId="7BFAA6BD" w14:textId="77777777">
        <w:trPr>
          <w:trHeight w:val="360"/>
        </w:trPr>
        <w:tc>
          <w:tcPr>
            <w:tcW w:w="9424" w:type="dxa"/>
            <w:gridSpan w:val="9"/>
            <w:tcBorders>
              <w:top w:val="single" w:sz="4" w:space="0" w:color="auto"/>
              <w:left w:val="single" w:sz="4" w:space="0" w:color="auto"/>
              <w:bottom w:val="single" w:sz="4" w:space="0" w:color="auto"/>
              <w:right w:val="single" w:sz="4" w:space="0" w:color="auto"/>
            </w:tcBorders>
            <w:vAlign w:val="center"/>
          </w:tcPr>
          <w:p w14:paraId="7B941BC7" w14:textId="77777777" w:rsidR="00616558" w:rsidRPr="0045498A" w:rsidRDefault="00000000">
            <w:pPr>
              <w:snapToGrid w:val="0"/>
              <w:spacing w:line="360" w:lineRule="auto"/>
              <w:jc w:val="center"/>
              <w:rPr>
                <w:rFonts w:ascii="宋体" w:hAnsi="宋体"/>
                <w:sz w:val="24"/>
              </w:rPr>
            </w:pPr>
            <w:r w:rsidRPr="0045498A">
              <w:rPr>
                <w:rFonts w:ascii="宋体" w:hAnsi="宋体"/>
                <w:sz w:val="24"/>
              </w:rPr>
              <w:t>备注：本表建筑高度为室外地坪到屋面完成面的高度</w:t>
            </w:r>
            <w:r w:rsidRPr="0045498A">
              <w:rPr>
                <w:rFonts w:ascii="宋体" w:hAnsi="宋体" w:hint="eastAsia"/>
                <w:sz w:val="24"/>
              </w:rPr>
              <w:t>，单体轮廓可按实际需要进行微调</w:t>
            </w:r>
            <w:r w:rsidRPr="0045498A">
              <w:rPr>
                <w:rFonts w:ascii="宋体" w:hAnsi="宋体"/>
                <w:sz w:val="24"/>
              </w:rPr>
              <w:t>。</w:t>
            </w:r>
          </w:p>
        </w:tc>
      </w:tr>
    </w:tbl>
    <w:p w14:paraId="59DB8DD4" w14:textId="77777777" w:rsidR="00616558" w:rsidRPr="0045498A" w:rsidRDefault="00616558">
      <w:pPr>
        <w:pStyle w:val="a1"/>
        <w:spacing w:after="0" w:line="360" w:lineRule="auto"/>
        <w:rPr>
          <w:rFonts w:ascii="宋体" w:eastAsia="宋体" w:hAnsi="宋体"/>
          <w:sz w:val="24"/>
        </w:rPr>
      </w:pPr>
    </w:p>
    <w:p w14:paraId="56DCF0E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柱网的选择：平面柱网布局，主要考虑通信生产的机架排列方便合理、生产管理及其配套的用房的合理、结构跨度合理等，开间和进深还要考虑消防、使用方便等因素。跨度小过密的柱网，不利于机架的排列和机房的灵活使用，跨度过大的柱网，影响结构的合理性和增大层高及投资，设计阶段需综合考虑。</w:t>
      </w:r>
    </w:p>
    <w:p w14:paraId="7511D30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2）通信机楼平面应具有通用性和灵活性，IT机房和电源机房能灵活调整比例，以满足不同功耗机柜、不同空调形式的布置需求。</w:t>
      </w:r>
    </w:p>
    <w:p w14:paraId="47D9DE4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机房平面布置应满足工艺要求，并从建筑结构、层高、内部交通、楼层荷载等方面为</w:t>
      </w:r>
      <w:r w:rsidRPr="0045498A">
        <w:rPr>
          <w:rFonts w:ascii="宋体" w:hAnsi="宋体" w:hint="eastAsia"/>
          <w:sz w:val="24"/>
        </w:rPr>
        <w:lastRenderedPageBreak/>
        <w:t>远期生产机房的扩容与调整创造条件。机房要求大空间、平面方正、规整，不应采用圆形、三角形等不利设备布置的不规则平面。单个机房的规模需根据气体灭火系统防护区容积进行核算。</w:t>
      </w:r>
    </w:p>
    <w:p w14:paraId="0C322EA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3）高低压变配电房应靠近负荷中心。机房采用分散供电方式，每层设电力、UPS机房。</w:t>
      </w:r>
    </w:p>
    <w:p w14:paraId="7C35829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4）通信机楼一层设置直接对外的卸货平台，并且在卸货平台附近统一考虑设置货运电梯，货运电梯核定载重量应不小于3.0 吨，轿厢尺寸应满足搬运设备的需要。货运通道、开门的宽度、高度应结合客户要求和大型设备搬运尺寸合理设计。结合空间布局和设备安装需要，设置吊装平台，满足变压器等大型设备吊装搬运需求。</w:t>
      </w:r>
    </w:p>
    <w:p w14:paraId="2BE0536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通信机楼应结合主入口门厅设置客货两用电梯，客货两用电梯核定载重量应不小于2.0 吨。</w:t>
      </w:r>
    </w:p>
    <w:p w14:paraId="57EC107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5）数据机房为全年需空调的封闭空间，为节能和防尘，外墙不宜设窗；如立面设计确需设窗，可在内用轻质材料封堵。外围护结构和封堵材料应采用保温性能好、符合环保要求的新型材料。</w:t>
      </w:r>
    </w:p>
    <w:p w14:paraId="1641CAE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6）主机房内通道与设备间的距离应符合下列规定：用于搬运设备的通道净宽不应小于1.5m；面对面布置的机柜或机柜正面之间的距离不宜小于1.2m；背对背布置的机柜或机柜背面之间的距离不宜小于0.8m；当需要维修测试时，机柜与机柜、机柜与墙之间的距离不宜小于1.0m。成行排列的机柜，其长度大于6m 时，两端应设有通道；当两个通道之间的距离大于15m 时，在两个通道之间还应增加通道。通道的宽度不宜小于1m，局部可为0.8m。</w:t>
      </w:r>
    </w:p>
    <w:p w14:paraId="7512CA6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7）本工程机房按远期安排，对近期</w:t>
      </w:r>
      <w:proofErr w:type="gramStart"/>
      <w:r w:rsidRPr="0045498A">
        <w:rPr>
          <w:rFonts w:ascii="宋体" w:hAnsi="宋体" w:hint="eastAsia"/>
          <w:sz w:val="24"/>
        </w:rPr>
        <w:t>不</w:t>
      </w:r>
      <w:proofErr w:type="gramEnd"/>
      <w:r w:rsidRPr="0045498A">
        <w:rPr>
          <w:rFonts w:ascii="宋体" w:hAnsi="宋体" w:hint="eastAsia"/>
          <w:sz w:val="24"/>
        </w:rPr>
        <w:t>装机部分，建设单位可在不影响机房安全的前提下合理安排，临时分隔利用，但应确保今后设备扩容时拆除这些临时分隔时不起灰尘和不影响正常生产。</w:t>
      </w:r>
    </w:p>
    <w:p w14:paraId="6CEC99C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8）运</w:t>
      </w:r>
      <w:proofErr w:type="gramStart"/>
      <w:r w:rsidRPr="0045498A">
        <w:rPr>
          <w:rFonts w:ascii="宋体" w:hAnsi="宋体" w:hint="eastAsia"/>
          <w:sz w:val="24"/>
        </w:rPr>
        <w:t>维保障</w:t>
      </w:r>
      <w:proofErr w:type="gramEnd"/>
      <w:r w:rsidRPr="0045498A">
        <w:rPr>
          <w:rFonts w:ascii="宋体" w:hAnsi="宋体" w:hint="eastAsia"/>
          <w:sz w:val="24"/>
        </w:rPr>
        <w:t>中心应满足园区运</w:t>
      </w:r>
      <w:proofErr w:type="gramStart"/>
      <w:r w:rsidRPr="0045498A">
        <w:rPr>
          <w:rFonts w:ascii="宋体" w:hAnsi="宋体" w:hint="eastAsia"/>
          <w:sz w:val="24"/>
        </w:rPr>
        <w:t>维管理</w:t>
      </w:r>
      <w:proofErr w:type="gramEnd"/>
      <w:r w:rsidRPr="0045498A">
        <w:rPr>
          <w:rFonts w:ascii="宋体" w:hAnsi="宋体" w:hint="eastAsia"/>
          <w:sz w:val="24"/>
        </w:rPr>
        <w:t>人员（不少于84人）的日常办公及生活保障要求，包括运维办公、会议、餐厨、倒班休息、活动室等功能，另外还需考虑园区监控的功能要求。</w:t>
      </w:r>
    </w:p>
    <w:p w14:paraId="4BD35927"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楼地面</w:t>
      </w:r>
    </w:p>
    <w:p w14:paraId="0610177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数据机房内各建筑构件的材料选用及构件设计应有足够的牢固性和耐久性，并应考虑在房间使用过程中减少灰尘的渗入、存积和飞扬，同时应考虑防火要求，采用不燃或难燃材料。机房内不得采用木装修。</w:t>
      </w:r>
    </w:p>
    <w:p w14:paraId="32620CF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楼地面、墙面、顶棚面的面层材料，应按室内通信设备的需要，采用光洁、耐磨、耐</w:t>
      </w:r>
      <w:r w:rsidRPr="0045498A">
        <w:rPr>
          <w:rFonts w:ascii="宋体" w:hAnsi="宋体" w:hint="eastAsia"/>
          <w:sz w:val="24"/>
        </w:rPr>
        <w:lastRenderedPageBreak/>
        <w:t xml:space="preserve">久、不起尘、防滑、不燃烧、防静电、环保的材料。 </w:t>
      </w:r>
    </w:p>
    <w:p w14:paraId="7697876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公共空间在风格上应简洁、现代，体现地域文化特色和企业形象，用材应杜绝奢华浪费，以实用为主，机房内不应进行装饰性的装修，室内外装修不宜使用石材等高档装修材料。</w:t>
      </w:r>
    </w:p>
    <w:p w14:paraId="2E31DB40"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屋面</w:t>
      </w:r>
    </w:p>
    <w:p w14:paraId="49B4EA8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屋面应保证防水及美观效果，防水等级为一级。机楼屋面应考虑空调冷却塔等设备的安装基础，并应具备一定的通用性，能够适配不同的冷却塔选型要求。</w:t>
      </w:r>
    </w:p>
    <w:p w14:paraId="3C956946"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层高</w:t>
      </w:r>
    </w:p>
    <w:p w14:paraId="4AF4796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数据机房的层高，应由通信工艺生产要求的净高、结构层、建筑装修层、下送风架空地板或回风吊顶及消防管网等高度构成。室内冷冻机房和柴油发电机房梁下净高不宜小于6m，变配电机房梁下净高不宜小于4m。平均单机柜功率3~6kW的模块机房层高建议取5.1～5.4m，平均单机柜功率6~10kW的模块机房层高建议取5.4～5.7m，若</w:t>
      </w:r>
      <w:proofErr w:type="gramStart"/>
      <w:r w:rsidRPr="0045498A">
        <w:rPr>
          <w:rFonts w:ascii="宋体" w:hAnsi="宋体" w:hint="eastAsia"/>
          <w:sz w:val="24"/>
        </w:rPr>
        <w:t>采用列间空调</w:t>
      </w:r>
      <w:proofErr w:type="gramEnd"/>
      <w:r w:rsidRPr="0045498A">
        <w:rPr>
          <w:rFonts w:ascii="宋体" w:hAnsi="宋体" w:hint="eastAsia"/>
          <w:sz w:val="24"/>
        </w:rPr>
        <w:t>、背板空调等新型末端形式，机房层高的要求可以适当下降，客户定制机房根据客户定制</w:t>
      </w:r>
      <w:proofErr w:type="gramStart"/>
      <w:r w:rsidRPr="0045498A">
        <w:rPr>
          <w:rFonts w:ascii="宋体" w:hAnsi="宋体" w:hint="eastAsia"/>
          <w:sz w:val="24"/>
        </w:rPr>
        <w:t>化需求</w:t>
      </w:r>
      <w:proofErr w:type="gramEnd"/>
      <w:r w:rsidRPr="0045498A">
        <w:rPr>
          <w:rFonts w:ascii="宋体" w:hAnsi="宋体" w:hint="eastAsia"/>
          <w:sz w:val="24"/>
        </w:rPr>
        <w:t>确定。机楼室内外高差应结合地形并不宜小于0.6m。</w:t>
      </w:r>
    </w:p>
    <w:p w14:paraId="1FE2F9A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工艺生产要求的净高为通信及配套设备和二层走线架的高度要求，但不包括活动地板高度。机柜高度为 2.2m 时，工艺净高不小于 3.2m。（二层走线架）不包括空调管道、消防管道、照明灯具等土建设施需要占用的空间高度。若机柜高度 h≥2.2m，则工艺净高不小于 3.2+(h-2.2)m。</w:t>
      </w:r>
    </w:p>
    <w:p w14:paraId="61905834"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建筑内交通</w:t>
      </w:r>
    </w:p>
    <w:p w14:paraId="7994A93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 设计应在安全可控的前提下，提出各类人员在建筑物内流线的规划路线，包括规划 IT 人员、维修人员和安全管理人员等的日常工作路线。除此之外还要规划一条能到达指定机房外部观察区域的观察人员活动线路。（指定机房位置由设计单位自行规划，并征得招标人同意，</w:t>
      </w:r>
      <w:proofErr w:type="gramStart"/>
      <w:r w:rsidRPr="0045498A">
        <w:rPr>
          <w:rFonts w:ascii="宋体" w:hAnsi="宋体" w:hint="eastAsia"/>
          <w:sz w:val="24"/>
        </w:rPr>
        <w:t>要求此</w:t>
      </w:r>
      <w:proofErr w:type="gramEnd"/>
      <w:r w:rsidRPr="0045498A">
        <w:rPr>
          <w:rFonts w:ascii="宋体" w:hAnsi="宋体" w:hint="eastAsia"/>
          <w:sz w:val="24"/>
        </w:rPr>
        <w:t>机房的某个立面具有观察窗，实现外部观察人员的工作检查或审计）。</w:t>
      </w:r>
    </w:p>
    <w:p w14:paraId="572D8E0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参观通道为本工程对外展示企业形象的窗口之一，要求在设计及施工中应充分考虑美观大方有档次，充分体现公司形象及企业文化，具备良好展示效果，符合国内一流通信机楼定位。</w:t>
      </w:r>
    </w:p>
    <w:p w14:paraId="09ADBE8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应以安全可控兼顾便捷为前提，对进入建筑物内部货物的运输流线进行规划。</w:t>
      </w:r>
    </w:p>
    <w:p w14:paraId="697294FC" w14:textId="77777777" w:rsidR="00616558" w:rsidRPr="0045498A" w:rsidRDefault="00000000">
      <w:pPr>
        <w:snapToGrid w:val="0"/>
        <w:spacing w:line="360" w:lineRule="auto"/>
        <w:rPr>
          <w:rFonts w:ascii="宋体" w:hAnsi="宋体"/>
          <w:b/>
          <w:bCs/>
          <w:sz w:val="24"/>
        </w:rPr>
      </w:pPr>
      <w:r w:rsidRPr="0045498A">
        <w:rPr>
          <w:rFonts w:ascii="宋体" w:hAnsi="宋体" w:hint="eastAsia"/>
          <w:b/>
          <w:bCs/>
          <w:sz w:val="24"/>
        </w:rPr>
        <w:t>1)人员通道</w:t>
      </w:r>
    </w:p>
    <w:p w14:paraId="6BCA68E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建筑物内通道要与人员流线和货物运输流线设计相配套，宜为无障碍通道，机房区的通道主要满足计算机维护管理人员的需要和 IT 设备运输要求。通道顶部或底部应合理布</w:t>
      </w:r>
      <w:r w:rsidRPr="0045498A">
        <w:rPr>
          <w:rFonts w:ascii="宋体" w:hAnsi="宋体" w:hint="eastAsia"/>
          <w:sz w:val="24"/>
        </w:rPr>
        <w:lastRenderedPageBreak/>
        <w:t>置各种设备管线、风管、水管、消防管道等，既要布置紧凑，又要预留足够的人员操作维护空间。铺设静电地板区域宜考虑与地板模数匹配。</w:t>
      </w:r>
    </w:p>
    <w:p w14:paraId="4F2657B4" w14:textId="77777777" w:rsidR="00616558" w:rsidRPr="0045498A" w:rsidRDefault="00000000">
      <w:pPr>
        <w:snapToGrid w:val="0"/>
        <w:spacing w:line="360" w:lineRule="auto"/>
        <w:rPr>
          <w:rFonts w:ascii="宋体" w:hAnsi="宋体"/>
          <w:b/>
          <w:bCs/>
          <w:sz w:val="24"/>
        </w:rPr>
      </w:pPr>
      <w:r w:rsidRPr="0045498A">
        <w:rPr>
          <w:rFonts w:ascii="宋体" w:hAnsi="宋体" w:hint="eastAsia"/>
          <w:b/>
          <w:bCs/>
          <w:sz w:val="24"/>
        </w:rPr>
        <w:t>2)卸货通道</w:t>
      </w:r>
    </w:p>
    <w:p w14:paraId="0CFF77D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机房区附近设置大型货梯，便于设备的运输。货梯厅要有充足的空间，便于设备运输回转装卸，货梯空间应能满足通信机楼机柜、空调、配电柜、精密</w:t>
      </w:r>
      <w:proofErr w:type="gramStart"/>
      <w:r w:rsidRPr="0045498A">
        <w:rPr>
          <w:rFonts w:ascii="宋体" w:hAnsi="宋体" w:hint="eastAsia"/>
          <w:sz w:val="24"/>
        </w:rPr>
        <w:t>列头柜等</w:t>
      </w:r>
      <w:proofErr w:type="gramEnd"/>
      <w:r w:rsidRPr="0045498A">
        <w:rPr>
          <w:rFonts w:ascii="宋体" w:hAnsi="宋体" w:hint="eastAsia"/>
          <w:sz w:val="24"/>
        </w:rPr>
        <w:t>设备运输。货物入口处应设卸货平台及货物运输通道。卸货平台应有雨棚和照明，地面与首层楼面高度相同。卸货平台为方便装卸铲车的操作，不设置平台护栏，应有合理坡度的运输坡道通往卸货平台。</w:t>
      </w:r>
    </w:p>
    <w:p w14:paraId="3FA48E8D"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防水</w:t>
      </w:r>
    </w:p>
    <w:p w14:paraId="26FD9A3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根据本项目的场地、建筑物、重要区域特性考虑防水对策，综合性提出防水系统的安全性和经济性。设计时要重点考虑机房、电缆竖井、电力室（包括 UPS 室、电池室）、空调间等场所的防水。在机房内的空调设备区、机房外走道地面应进行防水，并应设置地漏排水设施，用于快速疏散空调设备的漏水和事故排水。设计中应考虑防止走道内消防喷淋水流入机房的措施。</w:t>
      </w:r>
    </w:p>
    <w:p w14:paraId="6A1194B4"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机柜布置</w:t>
      </w:r>
    </w:p>
    <w:p w14:paraId="3F82B91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机房内部机柜</w:t>
      </w:r>
      <w:proofErr w:type="gramStart"/>
      <w:r w:rsidRPr="0045498A">
        <w:rPr>
          <w:rFonts w:ascii="宋体" w:hAnsi="宋体" w:hint="eastAsia"/>
          <w:sz w:val="24"/>
        </w:rPr>
        <w:t>应按冷或</w:t>
      </w:r>
      <w:proofErr w:type="gramEnd"/>
      <w:r w:rsidRPr="0045498A">
        <w:rPr>
          <w:rFonts w:ascii="宋体" w:hAnsi="宋体" w:hint="eastAsia"/>
          <w:sz w:val="24"/>
        </w:rPr>
        <w:t>热通道布置，并综合考虑制冷效率、建设成本、维护便捷、机柜出租等因素，设计最佳的冷通道或热通道封闭，冷热通道宽度满足国家规范要求，合理规划，并根据建设单位的业务需求进行调整。</w:t>
      </w:r>
    </w:p>
    <w:p w14:paraId="1503C9A7"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立面设计</w:t>
      </w:r>
    </w:p>
    <w:p w14:paraId="4D5BCFC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规划以现代建筑为形，以地域文化为神，建筑色彩清新明快，创造新颖时尚、节能环保的现代建筑，体现信息园的整体形象，同时各大楼又各具个性，统一中富有变化，变化中又有秩序。在造型与色彩上应把握以下两个原则：</w:t>
      </w:r>
    </w:p>
    <w:p w14:paraId="563EE36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①　宜保持机楼和运</w:t>
      </w:r>
      <w:proofErr w:type="gramStart"/>
      <w:r w:rsidRPr="0045498A">
        <w:rPr>
          <w:rFonts w:ascii="宋体" w:hAnsi="宋体" w:hint="eastAsia"/>
          <w:sz w:val="24"/>
        </w:rPr>
        <w:t>维保障</w:t>
      </w:r>
      <w:proofErr w:type="gramEnd"/>
      <w:r w:rsidRPr="0045498A">
        <w:rPr>
          <w:rFonts w:ascii="宋体" w:hAnsi="宋体" w:hint="eastAsia"/>
          <w:sz w:val="24"/>
        </w:rPr>
        <w:t>中心及配套动力中心外观的总体一致性；</w:t>
      </w:r>
    </w:p>
    <w:p w14:paraId="45A6C5A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②　需充分考虑立面造价的经济性。</w:t>
      </w:r>
    </w:p>
    <w:p w14:paraId="29F96C5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造型方面，建议不做过多的形体及凹凸变化，建议通过简明的体块分割和线条塑造简洁的造型，准确地刻画通信企业的性格和适宜的尺度感。色彩方面，宜选用浅色材料，浅色材料热反射性能较好，具有良好的节能效果。</w:t>
      </w:r>
    </w:p>
    <w:p w14:paraId="60BE02D2" w14:textId="77777777" w:rsidR="00616558" w:rsidRPr="0045498A" w:rsidRDefault="00000000" w:rsidP="00C62299">
      <w:pPr>
        <w:pStyle w:val="3"/>
        <w:spacing w:before="0" w:after="0" w:line="360" w:lineRule="auto"/>
        <w:ind w:left="142" w:hanging="142"/>
        <w:rPr>
          <w:rFonts w:ascii="宋体" w:hAnsi="宋体"/>
          <w:b/>
          <w:bCs w:val="0"/>
          <w:sz w:val="24"/>
          <w:szCs w:val="24"/>
        </w:rPr>
      </w:pPr>
      <w:r w:rsidRPr="0045498A">
        <w:rPr>
          <w:rFonts w:ascii="宋体" w:hAnsi="宋体" w:cs="宋体" w:hint="eastAsia"/>
          <w:b/>
          <w:bCs w:val="0"/>
          <w:sz w:val="24"/>
          <w:szCs w:val="24"/>
        </w:rPr>
        <w:t>结构专业</w:t>
      </w:r>
    </w:p>
    <w:p w14:paraId="747F1B7C"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总体要求</w:t>
      </w:r>
    </w:p>
    <w:p w14:paraId="4B4E652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本项目结构设计应满足国家及地方现行规范、规程及标准的要求，且应通过政府部门</w:t>
      </w:r>
      <w:r w:rsidRPr="0045498A">
        <w:rPr>
          <w:rFonts w:ascii="宋体" w:hAnsi="宋体" w:hint="eastAsia"/>
          <w:sz w:val="24"/>
        </w:rPr>
        <w:lastRenderedPageBreak/>
        <w:t>要求的技术及行政审查。结构设计应结合地质勘察报告，进行多种基础布置方案比较、优化，选择经济合理的基础方案；应进行上部结构选型、柱网尺寸、楼盖体系比较优化，在保证结构安全前提下力求节约；应结合机房工艺布置、管线排布等条件要求，注重对构件布置、截面尺寸的细节设计。</w:t>
      </w:r>
    </w:p>
    <w:p w14:paraId="198B3B7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除下表特别规定外，其余设计参数均应满足建筑现行规范、规程及标准的基本要求。</w:t>
      </w:r>
    </w:p>
    <w:p w14:paraId="0D7459B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A</w:t>
      </w:r>
      <w:r w:rsidRPr="0045498A">
        <w:rPr>
          <w:rFonts w:ascii="宋体" w:hAnsi="宋体" w:hint="eastAsia"/>
          <w:sz w:val="24"/>
        </w:rPr>
        <w:t>2通信机楼及</w:t>
      </w:r>
      <w:r w:rsidRPr="0045498A">
        <w:rPr>
          <w:rFonts w:ascii="宋体" w:hAnsi="宋体"/>
          <w:sz w:val="24"/>
        </w:rPr>
        <w:t>C1</w:t>
      </w:r>
      <w:r w:rsidRPr="0045498A">
        <w:rPr>
          <w:rFonts w:ascii="宋体" w:hAnsi="宋体" w:hint="eastAsia"/>
          <w:sz w:val="24"/>
        </w:rPr>
        <w:t>动力中心：</w:t>
      </w:r>
    </w:p>
    <w:tbl>
      <w:tblPr>
        <w:tblW w:w="0" w:type="auto"/>
        <w:jc w:val="center"/>
        <w:tblLayout w:type="fixed"/>
        <w:tblCellMar>
          <w:left w:w="0" w:type="dxa"/>
          <w:right w:w="0" w:type="dxa"/>
        </w:tblCellMar>
        <w:tblLook w:val="04A0" w:firstRow="1" w:lastRow="0" w:firstColumn="1" w:lastColumn="0" w:noHBand="0" w:noVBand="1"/>
      </w:tblPr>
      <w:tblGrid>
        <w:gridCol w:w="1995"/>
        <w:gridCol w:w="1692"/>
        <w:gridCol w:w="2534"/>
        <w:gridCol w:w="1759"/>
      </w:tblGrid>
      <w:tr w:rsidR="00616558" w:rsidRPr="0045498A" w14:paraId="181F020A" w14:textId="77777777">
        <w:trPr>
          <w:trHeight w:hRule="exact" w:val="473"/>
          <w:jc w:val="center"/>
        </w:trPr>
        <w:tc>
          <w:tcPr>
            <w:tcW w:w="1995" w:type="dxa"/>
            <w:tcBorders>
              <w:top w:val="single" w:sz="12" w:space="0" w:color="000000"/>
              <w:left w:val="single" w:sz="12" w:space="0" w:color="000000"/>
              <w:bottom w:val="single" w:sz="6" w:space="0" w:color="000000"/>
              <w:right w:val="single" w:sz="6" w:space="0" w:color="000000"/>
            </w:tcBorders>
            <w:vAlign w:val="bottom"/>
          </w:tcPr>
          <w:p w14:paraId="43A15D2D"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结构安全等级</w:t>
            </w:r>
          </w:p>
        </w:tc>
        <w:tc>
          <w:tcPr>
            <w:tcW w:w="1692" w:type="dxa"/>
            <w:tcBorders>
              <w:top w:val="single" w:sz="12" w:space="0" w:color="000000"/>
              <w:left w:val="single" w:sz="6" w:space="0" w:color="000000"/>
              <w:bottom w:val="single" w:sz="6" w:space="0" w:color="000000"/>
              <w:right w:val="single" w:sz="6" w:space="0" w:color="000000"/>
            </w:tcBorders>
            <w:vAlign w:val="bottom"/>
          </w:tcPr>
          <w:p w14:paraId="20804F95"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一级</w:t>
            </w:r>
          </w:p>
        </w:tc>
        <w:tc>
          <w:tcPr>
            <w:tcW w:w="2534" w:type="dxa"/>
            <w:tcBorders>
              <w:top w:val="single" w:sz="12" w:space="0" w:color="000000"/>
              <w:left w:val="single" w:sz="6" w:space="0" w:color="000000"/>
              <w:bottom w:val="single" w:sz="6" w:space="0" w:color="000000"/>
              <w:right w:val="single" w:sz="6" w:space="0" w:color="000000"/>
            </w:tcBorders>
            <w:vAlign w:val="bottom"/>
          </w:tcPr>
          <w:p w14:paraId="7579BE7F"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地基基础设计等级</w:t>
            </w:r>
          </w:p>
        </w:tc>
        <w:tc>
          <w:tcPr>
            <w:tcW w:w="1759" w:type="dxa"/>
            <w:tcBorders>
              <w:top w:val="single" w:sz="12" w:space="0" w:color="000000"/>
              <w:left w:val="single" w:sz="6" w:space="0" w:color="000000"/>
              <w:bottom w:val="single" w:sz="6" w:space="0" w:color="000000"/>
              <w:right w:val="single" w:sz="12" w:space="0" w:color="000000"/>
            </w:tcBorders>
            <w:vAlign w:val="bottom"/>
          </w:tcPr>
          <w:p w14:paraId="5A8E1741"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甲级</w:t>
            </w:r>
          </w:p>
        </w:tc>
      </w:tr>
      <w:tr w:rsidR="00616558" w:rsidRPr="0045498A" w14:paraId="6C4460D3" w14:textId="77777777">
        <w:trPr>
          <w:trHeight w:hRule="exact" w:val="547"/>
          <w:jc w:val="center"/>
        </w:trPr>
        <w:tc>
          <w:tcPr>
            <w:tcW w:w="1995" w:type="dxa"/>
            <w:tcBorders>
              <w:top w:val="single" w:sz="6" w:space="0" w:color="000000"/>
              <w:left w:val="single" w:sz="12" w:space="0" w:color="000000"/>
              <w:bottom w:val="single" w:sz="6" w:space="0" w:color="000000"/>
              <w:right w:val="single" w:sz="6" w:space="0" w:color="000000"/>
            </w:tcBorders>
            <w:vAlign w:val="bottom"/>
          </w:tcPr>
          <w:p w14:paraId="789E02E9"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设计使用年限</w:t>
            </w:r>
          </w:p>
        </w:tc>
        <w:tc>
          <w:tcPr>
            <w:tcW w:w="1692" w:type="dxa"/>
            <w:tcBorders>
              <w:top w:val="single" w:sz="6" w:space="0" w:color="000000"/>
              <w:left w:val="single" w:sz="6" w:space="0" w:color="000000"/>
              <w:bottom w:val="single" w:sz="6" w:space="0" w:color="000000"/>
              <w:right w:val="single" w:sz="6" w:space="0" w:color="000000"/>
            </w:tcBorders>
            <w:vAlign w:val="bottom"/>
          </w:tcPr>
          <w:p w14:paraId="60E29735"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50年</w:t>
            </w:r>
          </w:p>
        </w:tc>
        <w:tc>
          <w:tcPr>
            <w:tcW w:w="2534" w:type="dxa"/>
            <w:tcBorders>
              <w:top w:val="single" w:sz="6" w:space="0" w:color="000000"/>
              <w:left w:val="single" w:sz="6" w:space="0" w:color="000000"/>
              <w:bottom w:val="single" w:sz="6" w:space="0" w:color="000000"/>
              <w:right w:val="single" w:sz="6" w:space="0" w:color="000000"/>
            </w:tcBorders>
            <w:vAlign w:val="bottom"/>
          </w:tcPr>
          <w:p w14:paraId="6FCFC21D"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防水等级</w:t>
            </w:r>
          </w:p>
        </w:tc>
        <w:tc>
          <w:tcPr>
            <w:tcW w:w="1759" w:type="dxa"/>
            <w:tcBorders>
              <w:top w:val="single" w:sz="6" w:space="0" w:color="000000"/>
              <w:left w:val="single" w:sz="6" w:space="0" w:color="000000"/>
              <w:bottom w:val="single" w:sz="6" w:space="0" w:color="000000"/>
              <w:right w:val="single" w:sz="12" w:space="0" w:color="000000"/>
            </w:tcBorders>
            <w:vAlign w:val="bottom"/>
          </w:tcPr>
          <w:p w14:paraId="1056C807"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I级</w:t>
            </w:r>
          </w:p>
        </w:tc>
      </w:tr>
      <w:tr w:rsidR="00616558" w:rsidRPr="0045498A" w14:paraId="2DB97706" w14:textId="77777777">
        <w:trPr>
          <w:trHeight w:hRule="exact" w:val="440"/>
          <w:jc w:val="center"/>
        </w:trPr>
        <w:tc>
          <w:tcPr>
            <w:tcW w:w="1995" w:type="dxa"/>
            <w:tcBorders>
              <w:top w:val="single" w:sz="6" w:space="0" w:color="000000"/>
              <w:left w:val="single" w:sz="12" w:space="0" w:color="000000"/>
              <w:bottom w:val="single" w:sz="12" w:space="0" w:color="000000"/>
              <w:right w:val="single" w:sz="6" w:space="0" w:color="000000"/>
            </w:tcBorders>
            <w:vAlign w:val="bottom"/>
          </w:tcPr>
          <w:p w14:paraId="164365E8"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抗震设防类别</w:t>
            </w:r>
          </w:p>
        </w:tc>
        <w:tc>
          <w:tcPr>
            <w:tcW w:w="1692" w:type="dxa"/>
            <w:tcBorders>
              <w:top w:val="single" w:sz="6" w:space="0" w:color="000000"/>
              <w:left w:val="single" w:sz="6" w:space="0" w:color="000000"/>
              <w:bottom w:val="single" w:sz="12" w:space="0" w:color="000000"/>
              <w:right w:val="single" w:sz="6" w:space="0" w:color="000000"/>
            </w:tcBorders>
            <w:vAlign w:val="bottom"/>
          </w:tcPr>
          <w:p w14:paraId="32A93472"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乙类</w:t>
            </w:r>
          </w:p>
        </w:tc>
        <w:tc>
          <w:tcPr>
            <w:tcW w:w="2534" w:type="dxa"/>
            <w:tcBorders>
              <w:top w:val="single" w:sz="6" w:space="0" w:color="000000"/>
              <w:left w:val="single" w:sz="6" w:space="0" w:color="000000"/>
              <w:bottom w:val="single" w:sz="12" w:space="0" w:color="000000"/>
              <w:right w:val="single" w:sz="6" w:space="0" w:color="000000"/>
            </w:tcBorders>
            <w:vAlign w:val="bottom"/>
          </w:tcPr>
          <w:p w14:paraId="204DD7FA"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耐火等级</w:t>
            </w:r>
          </w:p>
        </w:tc>
        <w:tc>
          <w:tcPr>
            <w:tcW w:w="1759" w:type="dxa"/>
            <w:tcBorders>
              <w:top w:val="single" w:sz="6" w:space="0" w:color="000000"/>
              <w:left w:val="single" w:sz="6" w:space="0" w:color="000000"/>
              <w:bottom w:val="single" w:sz="12" w:space="0" w:color="000000"/>
              <w:right w:val="single" w:sz="12" w:space="0" w:color="000000"/>
            </w:tcBorders>
            <w:vAlign w:val="bottom"/>
          </w:tcPr>
          <w:p w14:paraId="65634E23"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一级</w:t>
            </w:r>
          </w:p>
        </w:tc>
      </w:tr>
    </w:tbl>
    <w:p w14:paraId="3F17E0A5" w14:textId="77777777" w:rsidR="00616558" w:rsidRPr="0045498A" w:rsidRDefault="00616558">
      <w:pPr>
        <w:snapToGrid w:val="0"/>
        <w:spacing w:line="360" w:lineRule="auto"/>
        <w:ind w:firstLineChars="200" w:firstLine="480"/>
        <w:rPr>
          <w:rFonts w:ascii="宋体" w:hAnsi="宋体"/>
          <w:sz w:val="24"/>
        </w:rPr>
      </w:pPr>
    </w:p>
    <w:p w14:paraId="1211EE0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B1</w:t>
      </w:r>
      <w:r w:rsidRPr="0045498A">
        <w:rPr>
          <w:rFonts w:ascii="宋体" w:hAnsi="宋体" w:hint="eastAsia"/>
          <w:sz w:val="24"/>
        </w:rPr>
        <w:t>运</w:t>
      </w:r>
      <w:proofErr w:type="gramStart"/>
      <w:r w:rsidRPr="0045498A">
        <w:rPr>
          <w:rFonts w:ascii="宋体" w:hAnsi="宋体" w:hint="eastAsia"/>
          <w:sz w:val="24"/>
        </w:rPr>
        <w:t>维保障</w:t>
      </w:r>
      <w:proofErr w:type="gramEnd"/>
      <w:r w:rsidRPr="0045498A">
        <w:rPr>
          <w:rFonts w:ascii="宋体" w:hAnsi="宋体" w:hint="eastAsia"/>
          <w:sz w:val="24"/>
        </w:rPr>
        <w:t>中心：</w:t>
      </w:r>
    </w:p>
    <w:tbl>
      <w:tblPr>
        <w:tblW w:w="0" w:type="auto"/>
        <w:jc w:val="center"/>
        <w:tblLayout w:type="fixed"/>
        <w:tblCellMar>
          <w:left w:w="0" w:type="dxa"/>
          <w:right w:w="0" w:type="dxa"/>
        </w:tblCellMar>
        <w:tblLook w:val="04A0" w:firstRow="1" w:lastRow="0" w:firstColumn="1" w:lastColumn="0" w:noHBand="0" w:noVBand="1"/>
      </w:tblPr>
      <w:tblGrid>
        <w:gridCol w:w="1995"/>
        <w:gridCol w:w="1692"/>
        <w:gridCol w:w="2534"/>
        <w:gridCol w:w="1759"/>
      </w:tblGrid>
      <w:tr w:rsidR="00616558" w:rsidRPr="0045498A" w14:paraId="7A2F655D" w14:textId="77777777">
        <w:trPr>
          <w:trHeight w:hRule="exact" w:val="473"/>
          <w:jc w:val="center"/>
        </w:trPr>
        <w:tc>
          <w:tcPr>
            <w:tcW w:w="1995" w:type="dxa"/>
            <w:tcBorders>
              <w:top w:val="single" w:sz="12" w:space="0" w:color="000000"/>
              <w:left w:val="single" w:sz="12" w:space="0" w:color="000000"/>
              <w:bottom w:val="single" w:sz="6" w:space="0" w:color="000000"/>
              <w:right w:val="single" w:sz="6" w:space="0" w:color="000000"/>
            </w:tcBorders>
            <w:vAlign w:val="bottom"/>
          </w:tcPr>
          <w:p w14:paraId="54E4BB49"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结构安全等级</w:t>
            </w:r>
          </w:p>
        </w:tc>
        <w:tc>
          <w:tcPr>
            <w:tcW w:w="1692" w:type="dxa"/>
            <w:tcBorders>
              <w:top w:val="single" w:sz="12" w:space="0" w:color="000000"/>
              <w:left w:val="single" w:sz="6" w:space="0" w:color="000000"/>
              <w:bottom w:val="single" w:sz="6" w:space="0" w:color="000000"/>
              <w:right w:val="single" w:sz="6" w:space="0" w:color="000000"/>
            </w:tcBorders>
            <w:vAlign w:val="bottom"/>
          </w:tcPr>
          <w:p w14:paraId="65F1C352"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二级</w:t>
            </w:r>
          </w:p>
        </w:tc>
        <w:tc>
          <w:tcPr>
            <w:tcW w:w="2534" w:type="dxa"/>
            <w:tcBorders>
              <w:top w:val="single" w:sz="12" w:space="0" w:color="000000"/>
              <w:left w:val="single" w:sz="6" w:space="0" w:color="000000"/>
              <w:bottom w:val="single" w:sz="6" w:space="0" w:color="000000"/>
              <w:right w:val="single" w:sz="6" w:space="0" w:color="000000"/>
            </w:tcBorders>
            <w:vAlign w:val="bottom"/>
          </w:tcPr>
          <w:p w14:paraId="06DF1EE6"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地基基础设计等级</w:t>
            </w:r>
          </w:p>
        </w:tc>
        <w:tc>
          <w:tcPr>
            <w:tcW w:w="1759" w:type="dxa"/>
            <w:tcBorders>
              <w:top w:val="single" w:sz="12" w:space="0" w:color="000000"/>
              <w:left w:val="single" w:sz="6" w:space="0" w:color="000000"/>
              <w:bottom w:val="single" w:sz="6" w:space="0" w:color="000000"/>
              <w:right w:val="single" w:sz="12" w:space="0" w:color="000000"/>
            </w:tcBorders>
            <w:vAlign w:val="bottom"/>
          </w:tcPr>
          <w:p w14:paraId="38B10591"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丙级</w:t>
            </w:r>
          </w:p>
        </w:tc>
      </w:tr>
      <w:tr w:rsidR="00616558" w:rsidRPr="0045498A" w14:paraId="3CB55A65" w14:textId="77777777">
        <w:trPr>
          <w:trHeight w:hRule="exact" w:val="547"/>
          <w:jc w:val="center"/>
        </w:trPr>
        <w:tc>
          <w:tcPr>
            <w:tcW w:w="1995" w:type="dxa"/>
            <w:tcBorders>
              <w:top w:val="single" w:sz="6" w:space="0" w:color="000000"/>
              <w:left w:val="single" w:sz="12" w:space="0" w:color="000000"/>
              <w:bottom w:val="single" w:sz="6" w:space="0" w:color="000000"/>
              <w:right w:val="single" w:sz="6" w:space="0" w:color="000000"/>
            </w:tcBorders>
            <w:vAlign w:val="bottom"/>
          </w:tcPr>
          <w:p w14:paraId="07508AE3"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设计使用年限</w:t>
            </w:r>
          </w:p>
        </w:tc>
        <w:tc>
          <w:tcPr>
            <w:tcW w:w="1692" w:type="dxa"/>
            <w:tcBorders>
              <w:top w:val="single" w:sz="6" w:space="0" w:color="000000"/>
              <w:left w:val="single" w:sz="6" w:space="0" w:color="000000"/>
              <w:bottom w:val="single" w:sz="6" w:space="0" w:color="000000"/>
              <w:right w:val="single" w:sz="6" w:space="0" w:color="000000"/>
            </w:tcBorders>
            <w:vAlign w:val="bottom"/>
          </w:tcPr>
          <w:p w14:paraId="37ECE1BC"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50年</w:t>
            </w:r>
          </w:p>
        </w:tc>
        <w:tc>
          <w:tcPr>
            <w:tcW w:w="2534" w:type="dxa"/>
            <w:tcBorders>
              <w:top w:val="single" w:sz="6" w:space="0" w:color="000000"/>
              <w:left w:val="single" w:sz="6" w:space="0" w:color="000000"/>
              <w:bottom w:val="single" w:sz="6" w:space="0" w:color="000000"/>
              <w:right w:val="single" w:sz="6" w:space="0" w:color="000000"/>
            </w:tcBorders>
            <w:vAlign w:val="bottom"/>
          </w:tcPr>
          <w:p w14:paraId="159CB6C7"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防水等级</w:t>
            </w:r>
          </w:p>
        </w:tc>
        <w:tc>
          <w:tcPr>
            <w:tcW w:w="1759" w:type="dxa"/>
            <w:tcBorders>
              <w:top w:val="single" w:sz="6" w:space="0" w:color="000000"/>
              <w:left w:val="single" w:sz="6" w:space="0" w:color="000000"/>
              <w:bottom w:val="single" w:sz="6" w:space="0" w:color="000000"/>
              <w:right w:val="single" w:sz="12" w:space="0" w:color="000000"/>
            </w:tcBorders>
            <w:vAlign w:val="bottom"/>
          </w:tcPr>
          <w:p w14:paraId="381C9CBA"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I级</w:t>
            </w:r>
          </w:p>
        </w:tc>
      </w:tr>
      <w:tr w:rsidR="00616558" w:rsidRPr="0045498A" w14:paraId="4B6987F7" w14:textId="77777777">
        <w:trPr>
          <w:trHeight w:hRule="exact" w:val="440"/>
          <w:jc w:val="center"/>
        </w:trPr>
        <w:tc>
          <w:tcPr>
            <w:tcW w:w="1995" w:type="dxa"/>
            <w:tcBorders>
              <w:top w:val="single" w:sz="6" w:space="0" w:color="000000"/>
              <w:left w:val="single" w:sz="12" w:space="0" w:color="000000"/>
              <w:bottom w:val="single" w:sz="12" w:space="0" w:color="000000"/>
              <w:right w:val="single" w:sz="6" w:space="0" w:color="000000"/>
            </w:tcBorders>
            <w:vAlign w:val="bottom"/>
          </w:tcPr>
          <w:p w14:paraId="1459B1D5"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抗震设防类别</w:t>
            </w:r>
          </w:p>
        </w:tc>
        <w:tc>
          <w:tcPr>
            <w:tcW w:w="1692" w:type="dxa"/>
            <w:tcBorders>
              <w:top w:val="single" w:sz="6" w:space="0" w:color="000000"/>
              <w:left w:val="single" w:sz="6" w:space="0" w:color="000000"/>
              <w:bottom w:val="single" w:sz="12" w:space="0" w:color="000000"/>
              <w:right w:val="single" w:sz="6" w:space="0" w:color="000000"/>
            </w:tcBorders>
            <w:vAlign w:val="bottom"/>
          </w:tcPr>
          <w:p w14:paraId="5007E363"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丙类</w:t>
            </w:r>
          </w:p>
        </w:tc>
        <w:tc>
          <w:tcPr>
            <w:tcW w:w="2534" w:type="dxa"/>
            <w:tcBorders>
              <w:top w:val="single" w:sz="6" w:space="0" w:color="000000"/>
              <w:left w:val="single" w:sz="6" w:space="0" w:color="000000"/>
              <w:bottom w:val="single" w:sz="12" w:space="0" w:color="000000"/>
              <w:right w:val="single" w:sz="6" w:space="0" w:color="000000"/>
            </w:tcBorders>
            <w:vAlign w:val="bottom"/>
          </w:tcPr>
          <w:p w14:paraId="59AB30D8"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耐火等级</w:t>
            </w:r>
          </w:p>
        </w:tc>
        <w:tc>
          <w:tcPr>
            <w:tcW w:w="1759" w:type="dxa"/>
            <w:tcBorders>
              <w:top w:val="single" w:sz="6" w:space="0" w:color="000000"/>
              <w:left w:val="single" w:sz="6" w:space="0" w:color="000000"/>
              <w:bottom w:val="single" w:sz="12" w:space="0" w:color="000000"/>
              <w:right w:val="single" w:sz="12" w:space="0" w:color="000000"/>
            </w:tcBorders>
            <w:vAlign w:val="bottom"/>
          </w:tcPr>
          <w:p w14:paraId="177DAD2E"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一级</w:t>
            </w:r>
          </w:p>
        </w:tc>
      </w:tr>
    </w:tbl>
    <w:p w14:paraId="2A91E8CC"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自然条件</w:t>
      </w:r>
    </w:p>
    <w:p w14:paraId="3A9C9A5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 xml:space="preserve">基本风压：0.45 </w:t>
      </w:r>
      <w:proofErr w:type="spellStart"/>
      <w:r w:rsidRPr="0045498A">
        <w:rPr>
          <w:rFonts w:ascii="宋体" w:hAnsi="宋体" w:hint="eastAsia"/>
          <w:sz w:val="24"/>
        </w:rPr>
        <w:t>kN</w:t>
      </w:r>
      <w:proofErr w:type="spellEnd"/>
      <w:r w:rsidRPr="0045498A">
        <w:rPr>
          <w:rFonts w:ascii="宋体" w:hAnsi="宋体" w:hint="eastAsia"/>
          <w:sz w:val="24"/>
        </w:rPr>
        <w:t>/㎡（重现期50年），地面粗糙度为B类。</w:t>
      </w:r>
    </w:p>
    <w:p w14:paraId="24D92F2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抗震设防烈度：6度,设计基本地震加速度值0.05g,设计地震分组第一组。</w:t>
      </w:r>
    </w:p>
    <w:p w14:paraId="3AF3C710"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地基基础要求</w:t>
      </w:r>
    </w:p>
    <w:p w14:paraId="3528720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本项目用地较为平整，局部填土层较厚，回填时间较短，设计单位需根据岩土工程详细勘察报告考虑较厚填土的不利影响。</w:t>
      </w:r>
    </w:p>
    <w:p w14:paraId="6BAA44E3"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荷载要求</w:t>
      </w:r>
    </w:p>
    <w:p w14:paraId="7E219EF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结构设计采用的活荷载应满足相关规范的要求，特别应确保各类设备荷载的准确性，并应向业主提供所有楼层的附加恒载及活荷载分布图。主机房区、电力</w:t>
      </w:r>
      <w:proofErr w:type="gramStart"/>
      <w:r w:rsidRPr="0045498A">
        <w:rPr>
          <w:rFonts w:ascii="宋体" w:hAnsi="宋体" w:hint="eastAsia"/>
          <w:sz w:val="24"/>
        </w:rPr>
        <w:t>电池区活荷载</w:t>
      </w:r>
      <w:proofErr w:type="gramEnd"/>
      <w:r w:rsidRPr="0045498A">
        <w:rPr>
          <w:rFonts w:ascii="宋体" w:hAnsi="宋体" w:hint="eastAsia"/>
          <w:sz w:val="24"/>
        </w:rPr>
        <w:t>按如下要求取值：</w:t>
      </w:r>
    </w:p>
    <w:p w14:paraId="6ADC5626" w14:textId="77777777" w:rsidR="00616558" w:rsidRPr="0045498A" w:rsidRDefault="00616558">
      <w:pPr>
        <w:widowControl/>
        <w:spacing w:line="360" w:lineRule="auto"/>
        <w:rPr>
          <w:rFonts w:ascii="宋体" w:hAnsi="宋体" w:cs="宋体"/>
          <w:kern w:val="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7"/>
        <w:gridCol w:w="1555"/>
        <w:gridCol w:w="1253"/>
        <w:gridCol w:w="1355"/>
      </w:tblGrid>
      <w:tr w:rsidR="00616558" w:rsidRPr="0045498A" w14:paraId="2AD19980" w14:textId="77777777">
        <w:trPr>
          <w:cantSplit/>
          <w:trHeight w:val="377"/>
          <w:jc w:val="center"/>
        </w:trPr>
        <w:tc>
          <w:tcPr>
            <w:tcW w:w="3217" w:type="dxa"/>
            <w:vMerge w:val="restart"/>
            <w:tcBorders>
              <w:top w:val="single" w:sz="12" w:space="0" w:color="auto"/>
              <w:left w:val="single" w:sz="4" w:space="0" w:color="auto"/>
              <w:bottom w:val="single" w:sz="4" w:space="0" w:color="auto"/>
              <w:right w:val="single" w:sz="4" w:space="0" w:color="auto"/>
            </w:tcBorders>
            <w:vAlign w:val="center"/>
          </w:tcPr>
          <w:p w14:paraId="21E1E9B7"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类  别</w:t>
            </w:r>
          </w:p>
        </w:tc>
        <w:tc>
          <w:tcPr>
            <w:tcW w:w="4163" w:type="dxa"/>
            <w:gridSpan w:val="3"/>
            <w:tcBorders>
              <w:top w:val="single" w:sz="12" w:space="0" w:color="auto"/>
              <w:left w:val="single" w:sz="4" w:space="0" w:color="auto"/>
              <w:bottom w:val="single" w:sz="4" w:space="0" w:color="auto"/>
              <w:right w:val="single" w:sz="12" w:space="0" w:color="auto"/>
            </w:tcBorders>
            <w:vAlign w:val="center"/>
          </w:tcPr>
          <w:p w14:paraId="72CFD955"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楼面</w:t>
            </w:r>
            <w:proofErr w:type="gramStart"/>
            <w:r w:rsidRPr="0045498A">
              <w:rPr>
                <w:rFonts w:ascii="宋体" w:hAnsi="宋体" w:cs="宋体" w:hint="eastAsia"/>
                <w:kern w:val="0"/>
                <w:sz w:val="24"/>
              </w:rPr>
              <w:t>均布活荷载</w:t>
            </w:r>
            <w:proofErr w:type="gramEnd"/>
            <w:r w:rsidRPr="0045498A">
              <w:rPr>
                <w:rFonts w:ascii="宋体" w:hAnsi="宋体" w:cs="宋体" w:hint="eastAsia"/>
                <w:kern w:val="0"/>
                <w:sz w:val="24"/>
              </w:rPr>
              <w:t>标准值(</w:t>
            </w:r>
            <w:proofErr w:type="spellStart"/>
            <w:r w:rsidRPr="0045498A">
              <w:rPr>
                <w:rFonts w:ascii="宋体" w:hAnsi="宋体" w:cs="宋体" w:hint="eastAsia"/>
                <w:kern w:val="0"/>
                <w:sz w:val="24"/>
              </w:rPr>
              <w:t>kN</w:t>
            </w:r>
            <w:proofErr w:type="spellEnd"/>
            <w:r w:rsidRPr="0045498A">
              <w:rPr>
                <w:rFonts w:ascii="宋体" w:hAnsi="宋体" w:cs="宋体" w:hint="eastAsia"/>
                <w:kern w:val="0"/>
                <w:sz w:val="24"/>
              </w:rPr>
              <w:t>/㎡)</w:t>
            </w:r>
          </w:p>
        </w:tc>
      </w:tr>
      <w:tr w:rsidR="00616558" w:rsidRPr="0045498A" w14:paraId="14BB2CED" w14:textId="77777777">
        <w:trPr>
          <w:cantSplit/>
          <w:trHeight w:val="134"/>
          <w:jc w:val="center"/>
        </w:trPr>
        <w:tc>
          <w:tcPr>
            <w:tcW w:w="3217" w:type="dxa"/>
            <w:vMerge/>
            <w:tcBorders>
              <w:top w:val="single" w:sz="12" w:space="0" w:color="auto"/>
              <w:left w:val="single" w:sz="4" w:space="0" w:color="auto"/>
              <w:bottom w:val="single" w:sz="4" w:space="0" w:color="auto"/>
              <w:right w:val="single" w:sz="4" w:space="0" w:color="auto"/>
            </w:tcBorders>
            <w:vAlign w:val="center"/>
          </w:tcPr>
          <w:p w14:paraId="45FA94A6" w14:textId="77777777" w:rsidR="00616558" w:rsidRPr="0045498A" w:rsidRDefault="00616558">
            <w:pPr>
              <w:widowControl/>
              <w:spacing w:line="360" w:lineRule="auto"/>
              <w:jc w:val="center"/>
              <w:rPr>
                <w:rFonts w:ascii="宋体" w:hAnsi="宋体" w:cs="宋体"/>
                <w:kern w:val="0"/>
                <w:sz w:val="24"/>
              </w:rPr>
            </w:pPr>
          </w:p>
        </w:tc>
        <w:tc>
          <w:tcPr>
            <w:tcW w:w="1555" w:type="dxa"/>
            <w:tcBorders>
              <w:top w:val="single" w:sz="4" w:space="0" w:color="auto"/>
              <w:left w:val="single" w:sz="4" w:space="0" w:color="auto"/>
              <w:bottom w:val="single" w:sz="4" w:space="0" w:color="auto"/>
              <w:right w:val="single" w:sz="4" w:space="0" w:color="auto"/>
            </w:tcBorders>
            <w:vAlign w:val="center"/>
          </w:tcPr>
          <w:p w14:paraId="39257348"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板</w:t>
            </w:r>
          </w:p>
        </w:tc>
        <w:tc>
          <w:tcPr>
            <w:tcW w:w="1253" w:type="dxa"/>
            <w:tcBorders>
              <w:top w:val="single" w:sz="4" w:space="0" w:color="auto"/>
              <w:left w:val="single" w:sz="4" w:space="0" w:color="auto"/>
              <w:bottom w:val="single" w:sz="4" w:space="0" w:color="auto"/>
              <w:right w:val="single" w:sz="4" w:space="0" w:color="auto"/>
            </w:tcBorders>
            <w:vAlign w:val="center"/>
          </w:tcPr>
          <w:p w14:paraId="6CC455DD"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次梁</w:t>
            </w:r>
          </w:p>
        </w:tc>
        <w:tc>
          <w:tcPr>
            <w:tcW w:w="1355" w:type="dxa"/>
            <w:tcBorders>
              <w:top w:val="single" w:sz="4" w:space="0" w:color="auto"/>
              <w:left w:val="single" w:sz="4" w:space="0" w:color="auto"/>
              <w:bottom w:val="single" w:sz="4" w:space="0" w:color="auto"/>
              <w:right w:val="single" w:sz="12" w:space="0" w:color="auto"/>
            </w:tcBorders>
            <w:vAlign w:val="center"/>
          </w:tcPr>
          <w:p w14:paraId="431EEEC7"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主梁、柱、基础</w:t>
            </w:r>
          </w:p>
        </w:tc>
      </w:tr>
      <w:tr w:rsidR="00616558" w:rsidRPr="0045498A" w14:paraId="789672C4" w14:textId="77777777">
        <w:trPr>
          <w:trHeight w:val="377"/>
          <w:jc w:val="center"/>
        </w:trPr>
        <w:tc>
          <w:tcPr>
            <w:tcW w:w="3217" w:type="dxa"/>
            <w:tcBorders>
              <w:top w:val="single" w:sz="4" w:space="0" w:color="auto"/>
              <w:left w:val="single" w:sz="4" w:space="0" w:color="auto"/>
              <w:bottom w:val="single" w:sz="4" w:space="0" w:color="auto"/>
              <w:right w:val="single" w:sz="4" w:space="0" w:color="auto"/>
            </w:tcBorders>
            <w:vAlign w:val="center"/>
          </w:tcPr>
          <w:p w14:paraId="6BB73166"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主机房区、电力电池区</w:t>
            </w:r>
          </w:p>
        </w:tc>
        <w:tc>
          <w:tcPr>
            <w:tcW w:w="1555" w:type="dxa"/>
            <w:tcBorders>
              <w:top w:val="single" w:sz="4" w:space="0" w:color="auto"/>
              <w:left w:val="single" w:sz="4" w:space="0" w:color="auto"/>
              <w:bottom w:val="single" w:sz="4" w:space="0" w:color="auto"/>
              <w:right w:val="single" w:sz="4" w:space="0" w:color="auto"/>
            </w:tcBorders>
            <w:vAlign w:val="center"/>
          </w:tcPr>
          <w:p w14:paraId="6DEF03D2"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16</w:t>
            </w:r>
          </w:p>
        </w:tc>
        <w:tc>
          <w:tcPr>
            <w:tcW w:w="1253" w:type="dxa"/>
            <w:tcBorders>
              <w:top w:val="single" w:sz="4" w:space="0" w:color="auto"/>
              <w:left w:val="single" w:sz="4" w:space="0" w:color="auto"/>
              <w:bottom w:val="single" w:sz="4" w:space="0" w:color="auto"/>
              <w:right w:val="single" w:sz="4" w:space="0" w:color="auto"/>
            </w:tcBorders>
            <w:vAlign w:val="center"/>
          </w:tcPr>
          <w:p w14:paraId="0572938B"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13</w:t>
            </w:r>
          </w:p>
        </w:tc>
        <w:tc>
          <w:tcPr>
            <w:tcW w:w="1355" w:type="dxa"/>
            <w:tcBorders>
              <w:top w:val="single" w:sz="4" w:space="0" w:color="auto"/>
              <w:left w:val="single" w:sz="4" w:space="0" w:color="auto"/>
              <w:bottom w:val="single" w:sz="4" w:space="0" w:color="auto"/>
              <w:right w:val="single" w:sz="12" w:space="0" w:color="auto"/>
            </w:tcBorders>
            <w:vAlign w:val="center"/>
          </w:tcPr>
          <w:p w14:paraId="1792DF8A" w14:textId="77777777" w:rsidR="00616558" w:rsidRPr="0045498A" w:rsidRDefault="00000000">
            <w:pPr>
              <w:widowControl/>
              <w:spacing w:line="360" w:lineRule="auto"/>
              <w:jc w:val="center"/>
              <w:rPr>
                <w:rFonts w:ascii="宋体" w:hAnsi="宋体" w:cs="宋体"/>
                <w:kern w:val="0"/>
                <w:sz w:val="24"/>
              </w:rPr>
            </w:pPr>
            <w:r w:rsidRPr="0045498A">
              <w:rPr>
                <w:rFonts w:ascii="宋体" w:hAnsi="宋体" w:cs="宋体" w:hint="eastAsia"/>
                <w:kern w:val="0"/>
                <w:sz w:val="24"/>
              </w:rPr>
              <w:t>12</w:t>
            </w:r>
          </w:p>
        </w:tc>
      </w:tr>
    </w:tbl>
    <w:p w14:paraId="3EBDCDE7" w14:textId="77777777" w:rsidR="00616558" w:rsidRPr="0045498A" w:rsidRDefault="00616558">
      <w:pPr>
        <w:snapToGrid w:val="0"/>
        <w:spacing w:line="360" w:lineRule="auto"/>
        <w:ind w:firstLineChars="200" w:firstLine="480"/>
        <w:rPr>
          <w:rFonts w:ascii="宋体" w:hAnsi="宋体"/>
          <w:sz w:val="24"/>
        </w:rPr>
      </w:pPr>
    </w:p>
    <w:p w14:paraId="1290E4C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设计单位根据机电系统设计，计算确定屋面布置设备区域的荷载要求，屋面设计活荷载除考虑上人屋面活荷载取值外，还需据实考虑管道、室外机、风机等设备及其基础重量；计算楼层和设备管廊吊挂荷载应考虑空调管道实际重量（含水）、电气专业桥架（含已敷设电缆），其他设备及其基础等按实际重量考虑；设备搬运通道应考虑设备搬运时的临时荷载。</w:t>
      </w:r>
    </w:p>
    <w:p w14:paraId="5BA528D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其他活荷载取值应满足《工程结构通用规范》（GB55001-2021）、《建筑结构荷载规范》（GB50009－2012）、《通信建筑工程设计规范》（YD5003－2014）及《数据中心设计规范》（GB50174-2017）要求。</w:t>
      </w:r>
    </w:p>
    <w:p w14:paraId="6A1CA0B0"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结构材料</w:t>
      </w:r>
    </w:p>
    <w:p w14:paraId="674D5EF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钢筋应满足《抗震设计规范》GB50011-2010（2016 版）的相关要求：</w:t>
      </w:r>
    </w:p>
    <w:p w14:paraId="1E40500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1）钢筋的抗拉强度实测值与屈服强度实测值的比值不应小于 1.25；</w:t>
      </w:r>
    </w:p>
    <w:p w14:paraId="244B7F9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2）钢筋的屈服强度实测值与屈服强度标准值的比值不应大于 1.3；</w:t>
      </w:r>
    </w:p>
    <w:p w14:paraId="7F6A12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3）钢筋在最大拉力下的总伸长率实测值不应小于 9%。</w:t>
      </w:r>
    </w:p>
    <w:p w14:paraId="2353B7A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所有结构材料设计应根据当地地震条件、勘察报告、国标要求选取，但应在满足相关标准的前提下，采用节省节约设计。</w:t>
      </w:r>
    </w:p>
    <w:p w14:paraId="5DB83EC7"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强制性条文</w:t>
      </w:r>
    </w:p>
    <w:p w14:paraId="004D475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 未注明的结构设计部分强制性条文详见《工程结构通用规范》GB55001-2021、《建筑与市政地基基础通用规范》GB55003-2021、《混凝土结构通用规范》GB55008-2021；</w:t>
      </w:r>
    </w:p>
    <w:p w14:paraId="2FB68F6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 未注明的抗震设计部分强制性条文详见《建筑与市政工程抗震通用规范》GB55002-2021；</w:t>
      </w:r>
    </w:p>
    <w:p w14:paraId="09A912A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 未注明的施工质量部分强制性条文详见《工程建设标准强制性条文-房屋建筑部分》(2013版)第九篇施工质量；</w:t>
      </w:r>
    </w:p>
    <w:p w14:paraId="363C7E0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 未注明的施工安全部分强制性条文详见《工程建设标准强制性条文-房屋建筑部分》(2013版)第十篇施工安全。</w:t>
      </w:r>
    </w:p>
    <w:p w14:paraId="49BBE70D"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施工要求</w:t>
      </w:r>
    </w:p>
    <w:p w14:paraId="489BB80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 本项目A2通信机楼、C1动力中心属超长结构，承包人遵循设计要求，采取措施防止由于结构超长引起的裂缝。</w:t>
      </w:r>
    </w:p>
    <w:p w14:paraId="18EF203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 本项目B1运</w:t>
      </w:r>
      <w:proofErr w:type="gramStart"/>
      <w:r w:rsidRPr="0045498A">
        <w:rPr>
          <w:rFonts w:ascii="宋体" w:hAnsi="宋体" w:hint="eastAsia"/>
          <w:sz w:val="24"/>
        </w:rPr>
        <w:t>维保障</w:t>
      </w:r>
      <w:proofErr w:type="gramEnd"/>
      <w:r w:rsidRPr="0045498A">
        <w:rPr>
          <w:rFonts w:ascii="宋体" w:hAnsi="宋体" w:hint="eastAsia"/>
          <w:sz w:val="24"/>
        </w:rPr>
        <w:t>中心体型复杂、平面不规则，承包人遵循设计要求，采取措施防止由于平面不规则产生对结构的不利影响。</w:t>
      </w:r>
    </w:p>
    <w:p w14:paraId="28B3784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3）施工时应密切与总图、建筑、给排水、暖通、电气等各工种配合，以防错漏。对管</w:t>
      </w:r>
      <w:r w:rsidRPr="0045498A">
        <w:rPr>
          <w:rFonts w:ascii="宋体" w:hAnsi="宋体" w:hint="eastAsia"/>
          <w:sz w:val="24"/>
        </w:rPr>
        <w:lastRenderedPageBreak/>
        <w:t>线较为集中的部位应进行管线综合，将错、漏、碰的事故在浇灌之前予以消除，禁止在结构主体上后凿洞。</w:t>
      </w:r>
    </w:p>
    <w:p w14:paraId="081A32A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 如遇雨季和</w:t>
      </w:r>
      <w:proofErr w:type="gramStart"/>
      <w:r w:rsidRPr="0045498A">
        <w:rPr>
          <w:rFonts w:ascii="宋体" w:hAnsi="宋体" w:hint="eastAsia"/>
          <w:sz w:val="24"/>
        </w:rPr>
        <w:t>冬期</w:t>
      </w:r>
      <w:proofErr w:type="gramEnd"/>
      <w:r w:rsidRPr="0045498A">
        <w:rPr>
          <w:rFonts w:ascii="宋体" w:hAnsi="宋体" w:hint="eastAsia"/>
          <w:sz w:val="24"/>
        </w:rPr>
        <w:t>施工等特殊情况，应采取相应施工措施。</w:t>
      </w:r>
    </w:p>
    <w:p w14:paraId="701527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 结构主体完工，砌筑砌体之前，应进行中间验收。未经中间验收或验收不合格，不得下一道工序施工。</w:t>
      </w:r>
    </w:p>
    <w:p w14:paraId="769836C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6) 对于本项目涉及的危大工程，承包人应按《危险性较大的分部分项工程安全管理规定》( 2018 年3月8日)编制专项施工方案，提供相应计算书，必要时进行专家论证及第三方监测，并严格按照施工方案施工，确保施工安全。</w:t>
      </w:r>
    </w:p>
    <w:p w14:paraId="4879763C" w14:textId="77777777" w:rsidR="00616558" w:rsidRPr="0045498A" w:rsidRDefault="00000000" w:rsidP="00C62299">
      <w:pPr>
        <w:pStyle w:val="3"/>
        <w:spacing w:before="0" w:after="0" w:line="360" w:lineRule="auto"/>
        <w:ind w:left="142" w:hanging="142"/>
        <w:rPr>
          <w:rFonts w:ascii="宋体" w:hAnsi="宋体"/>
          <w:b/>
          <w:bCs w:val="0"/>
          <w:sz w:val="24"/>
          <w:szCs w:val="24"/>
        </w:rPr>
      </w:pPr>
      <w:r w:rsidRPr="0045498A">
        <w:rPr>
          <w:rFonts w:ascii="宋体" w:hAnsi="宋体" w:cs="宋体" w:hint="eastAsia"/>
          <w:b/>
          <w:bCs w:val="0"/>
          <w:sz w:val="24"/>
          <w:szCs w:val="24"/>
        </w:rPr>
        <w:t>空调专业</w:t>
      </w:r>
    </w:p>
    <w:p w14:paraId="76B9B9D4"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cs="宋体" w:hint="eastAsia"/>
          <w:sz w:val="24"/>
          <w:szCs w:val="24"/>
        </w:rPr>
        <w:t>总体要求</w:t>
      </w:r>
    </w:p>
    <w:p w14:paraId="4E1AF8A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遵照系统先进、技术成熟、合理、节能、环保的理念，进行通风系统、空调系统、消防排烟系统等的设计，设计注重以下要求：</w:t>
      </w:r>
    </w:p>
    <w:p w14:paraId="7BC1AAE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系统的设计和建设必须考虑满足项目分期、分阶段建设、后期逐步扩容的需求，所有冷源及空调末端、管路等满足分步按需配置要求，在设计时应考虑分步实施的可行性，避免后来的施工对前期投产环境产生影响。</w:t>
      </w:r>
    </w:p>
    <w:p w14:paraId="4FC56AE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尽量采用切实可行的节能设计方案，详细阐述各项节能措施，提高系统的运行效率，创建绿色通信机楼。</w:t>
      </w:r>
    </w:p>
    <w:p w14:paraId="63A21E5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通信机楼空调设计方案应满足可靠性、扩展性和在线维护性要求。</w:t>
      </w:r>
    </w:p>
    <w:p w14:paraId="5D73D3D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室外设备与机房噪音或其他噪声的治理与控制，应满足有关标准规范要求。</w:t>
      </w:r>
    </w:p>
    <w:p w14:paraId="3F91C055"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空调系统</w:t>
      </w:r>
    </w:p>
    <w:p w14:paraId="558C5AB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制冷机房须考虑冷热源大型设备的吊装、维修更换的通道。</w:t>
      </w:r>
    </w:p>
    <w:p w14:paraId="047FFBA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冷热源的设置除满足规范要求内容外，应满足各功能分区的空调运行要求，充分体现节能、环保理念，必要时应进行相关经济技术分析。</w:t>
      </w:r>
    </w:p>
    <w:p w14:paraId="3CE6678C"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hint="eastAsia"/>
          <w:sz w:val="24"/>
        </w:rPr>
        <w:t>冷冻水</w:t>
      </w:r>
      <w:proofErr w:type="gramEnd"/>
      <w:r w:rsidRPr="0045498A">
        <w:rPr>
          <w:rFonts w:ascii="宋体" w:hAnsi="宋体" w:hint="eastAsia"/>
          <w:sz w:val="24"/>
        </w:rPr>
        <w:t>供水温度范围参照国内外相关行业标准并充分考虑安全可靠性和节能效果。</w:t>
      </w:r>
    </w:p>
    <w:p w14:paraId="6E1F47F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机房区应考虑连续制冷需求。机房空调、水泵系统部分考虑UPS电源供电。</w:t>
      </w:r>
    </w:p>
    <w:p w14:paraId="4117B9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设计单位在冷热源的主机配置上应考虑机房负载的逐步增加，尤其是应能保证投产初期负荷较小情况下的正常、高效运行。对空调系统能效作建模推算，提供满载时、部分负载时的PUE测算值。</w:t>
      </w:r>
    </w:p>
    <w:p w14:paraId="4633376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投标人应充分考虑冷冻冷却水管的布置、路径的合理性，尽量减少占地。</w:t>
      </w:r>
    </w:p>
    <w:p w14:paraId="35E0C86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空调</w:t>
      </w:r>
      <w:proofErr w:type="gramStart"/>
      <w:r w:rsidRPr="0045498A">
        <w:rPr>
          <w:rFonts w:ascii="宋体" w:hAnsi="宋体" w:hint="eastAsia"/>
          <w:sz w:val="24"/>
        </w:rPr>
        <w:t>主管路系统</w:t>
      </w:r>
      <w:proofErr w:type="gramEnd"/>
      <w:r w:rsidRPr="0045498A">
        <w:rPr>
          <w:rFonts w:ascii="宋体" w:hAnsi="宋体" w:hint="eastAsia"/>
          <w:sz w:val="24"/>
        </w:rPr>
        <w:t>考虑垂直布置，竖井内需预留足够维修空间，水管和电缆管路独立设</w:t>
      </w:r>
      <w:r w:rsidRPr="0045498A">
        <w:rPr>
          <w:rFonts w:ascii="宋体" w:hAnsi="宋体" w:hint="eastAsia"/>
          <w:sz w:val="24"/>
        </w:rPr>
        <w:lastRenderedPageBreak/>
        <w:t>置，减少水平干管布置。</w:t>
      </w:r>
    </w:p>
    <w:p w14:paraId="0B74DF6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室外设备、管道、</w:t>
      </w:r>
      <w:proofErr w:type="gramStart"/>
      <w:r w:rsidRPr="0045498A">
        <w:rPr>
          <w:rFonts w:ascii="宋体" w:hAnsi="宋体" w:hint="eastAsia"/>
          <w:sz w:val="24"/>
        </w:rPr>
        <w:t>表计应考虑</w:t>
      </w:r>
      <w:proofErr w:type="gramEnd"/>
      <w:r w:rsidRPr="0045498A">
        <w:rPr>
          <w:rFonts w:ascii="宋体" w:hAnsi="宋体" w:hint="eastAsia"/>
          <w:sz w:val="24"/>
        </w:rPr>
        <w:t>搬运、防冻、防水、防腐设计，预留安装运维空间。</w:t>
      </w:r>
    </w:p>
    <w:p w14:paraId="1DAC216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运维楼、</w:t>
      </w:r>
      <w:proofErr w:type="gramStart"/>
      <w:r w:rsidRPr="0045498A">
        <w:rPr>
          <w:rFonts w:ascii="宋体" w:hAnsi="宋体" w:hint="eastAsia"/>
          <w:sz w:val="24"/>
        </w:rPr>
        <w:t>动力楼</w:t>
      </w:r>
      <w:proofErr w:type="gramEnd"/>
      <w:r w:rsidRPr="0045498A">
        <w:rPr>
          <w:rFonts w:ascii="宋体" w:hAnsi="宋体" w:hint="eastAsia"/>
          <w:sz w:val="24"/>
        </w:rPr>
        <w:t>舒适性空调工程，门厅、监控室、值班室等服务用房所设置的分体空调或多联机空调系统。</w:t>
      </w:r>
      <w:r w:rsidRPr="0045498A">
        <w:rPr>
          <w:rFonts w:ascii="宋体" w:hAnsi="宋体" w:hint="eastAsia"/>
          <w:sz w:val="24"/>
        </w:rPr>
        <w:cr/>
        <w:t xml:space="preserve">    建设A</w:t>
      </w:r>
      <w:r w:rsidRPr="0045498A">
        <w:rPr>
          <w:rFonts w:ascii="宋体" w:hAnsi="宋体"/>
          <w:sz w:val="24"/>
        </w:rPr>
        <w:t>2</w:t>
      </w:r>
      <w:r w:rsidRPr="0045498A">
        <w:rPr>
          <w:rFonts w:ascii="宋体" w:hAnsi="宋体" w:hint="eastAsia"/>
          <w:sz w:val="24"/>
        </w:rPr>
        <w:t>栋通信机楼空调主管道工程，楼层公共区域的横向主干管及竖向管井内主立管、室外管道。</w:t>
      </w:r>
    </w:p>
    <w:p w14:paraId="6F8B41B7"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通风系统</w:t>
      </w:r>
    </w:p>
    <w:p w14:paraId="4C64F1A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应充分体现绿色建筑节能、环保理念。运</w:t>
      </w:r>
      <w:proofErr w:type="gramStart"/>
      <w:r w:rsidRPr="0045498A">
        <w:rPr>
          <w:rFonts w:ascii="宋体" w:hAnsi="宋体" w:hint="eastAsia"/>
          <w:sz w:val="24"/>
        </w:rPr>
        <w:t>维配套</w:t>
      </w:r>
      <w:proofErr w:type="gramEnd"/>
      <w:r w:rsidRPr="0045498A">
        <w:rPr>
          <w:rFonts w:ascii="宋体" w:hAnsi="宋体" w:hint="eastAsia"/>
          <w:sz w:val="24"/>
        </w:rPr>
        <w:t>区的立面设计必须考虑自然采光、自然通风，通风构造可考虑加设空气过滤层。</w:t>
      </w:r>
    </w:p>
    <w:p w14:paraId="579699E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设置卫生间机械排风系统。</w:t>
      </w:r>
    </w:p>
    <w:p w14:paraId="479B531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配电房、电池室、动力站、泵房、仓库、动力站、集中供冷供热站及卫生间等封闭空间应考虑机械通风系统设计。</w:t>
      </w:r>
    </w:p>
    <w:p w14:paraId="2CD066B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监控室、办公室等人员长期活动区域应设计新风系统。</w:t>
      </w:r>
    </w:p>
    <w:p w14:paraId="5201328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机房及其它</w:t>
      </w:r>
      <w:proofErr w:type="gramStart"/>
      <w:r w:rsidRPr="0045498A">
        <w:rPr>
          <w:rFonts w:ascii="宋体" w:hAnsi="宋体" w:hint="eastAsia"/>
          <w:sz w:val="24"/>
        </w:rPr>
        <w:t>气体消防</w:t>
      </w:r>
      <w:proofErr w:type="gramEnd"/>
      <w:r w:rsidRPr="0045498A">
        <w:rPr>
          <w:rFonts w:ascii="宋体" w:hAnsi="宋体" w:hint="eastAsia"/>
          <w:sz w:val="24"/>
        </w:rPr>
        <w:t>区域需要设置事故排风，排风量根据有关规范执行。事后排</w:t>
      </w:r>
      <w:proofErr w:type="gramStart"/>
      <w:r w:rsidRPr="0045498A">
        <w:rPr>
          <w:rFonts w:ascii="宋体" w:hAnsi="宋体" w:hint="eastAsia"/>
          <w:sz w:val="24"/>
        </w:rPr>
        <w:t>风系统</w:t>
      </w:r>
      <w:proofErr w:type="gramEnd"/>
      <w:r w:rsidRPr="0045498A">
        <w:rPr>
          <w:rFonts w:ascii="宋体" w:hAnsi="宋体" w:hint="eastAsia"/>
          <w:sz w:val="24"/>
        </w:rPr>
        <w:t>应严格考虑密封性设计，严禁室外空气通过排风系统进入机房。</w:t>
      </w:r>
    </w:p>
    <w:p w14:paraId="12FC39CA"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hint="eastAsia"/>
          <w:sz w:val="24"/>
        </w:rPr>
        <w:t>柴发并机室考虑</w:t>
      </w:r>
      <w:proofErr w:type="gramEnd"/>
      <w:r w:rsidRPr="0045498A">
        <w:rPr>
          <w:rFonts w:ascii="宋体" w:hAnsi="宋体" w:hint="eastAsia"/>
          <w:sz w:val="24"/>
        </w:rPr>
        <w:t>独立的机械送、排风系统设计。</w:t>
      </w:r>
    </w:p>
    <w:p w14:paraId="7141BE9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制冷机房设事故通风系统。</w:t>
      </w:r>
    </w:p>
    <w:p w14:paraId="0238A5C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考虑气瓶间气体泄漏事故通风系统。</w:t>
      </w:r>
    </w:p>
    <w:p w14:paraId="523BB84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电池室设计安装氢气泄露检测系统，与排风系统</w:t>
      </w:r>
      <w:proofErr w:type="gramStart"/>
      <w:r w:rsidRPr="0045498A">
        <w:rPr>
          <w:rFonts w:ascii="宋体" w:hAnsi="宋体" w:hint="eastAsia"/>
          <w:sz w:val="24"/>
        </w:rPr>
        <w:t>联锁</w:t>
      </w:r>
      <w:proofErr w:type="gramEnd"/>
      <w:r w:rsidRPr="0045498A">
        <w:rPr>
          <w:rFonts w:ascii="宋体" w:hAnsi="宋体" w:hint="eastAsia"/>
          <w:sz w:val="24"/>
        </w:rPr>
        <w:t>。每个电池室的内外均配备警告标志、报警器，报警器与建筑管理系统连接。</w:t>
      </w:r>
    </w:p>
    <w:p w14:paraId="581A3DFC"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空调系统界面</w:t>
      </w:r>
    </w:p>
    <w:p w14:paraId="01C8DF7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本工程空调专业范围包含建筑通风、空调主管道、空调设备基础、室外蓄</w:t>
      </w:r>
      <w:proofErr w:type="gramStart"/>
      <w:r w:rsidRPr="0045498A">
        <w:rPr>
          <w:rFonts w:ascii="宋体" w:hAnsi="宋体" w:hint="eastAsia"/>
          <w:sz w:val="24"/>
        </w:rPr>
        <w:t>冷罐基础</w:t>
      </w:r>
      <w:proofErr w:type="gramEnd"/>
      <w:r w:rsidRPr="0045498A">
        <w:rPr>
          <w:rFonts w:ascii="宋体" w:hAnsi="宋体" w:hint="eastAsia"/>
          <w:sz w:val="24"/>
        </w:rPr>
        <w:t>及安装预留工作，以及配套办公用房及动力用房空调系统。</w:t>
      </w:r>
    </w:p>
    <w:p w14:paraId="12328A51" w14:textId="77777777" w:rsidR="00616558" w:rsidRPr="0045498A" w:rsidRDefault="00000000" w:rsidP="00C62299">
      <w:pPr>
        <w:pStyle w:val="3"/>
        <w:spacing w:before="0" w:after="0" w:line="360" w:lineRule="auto"/>
        <w:ind w:left="142" w:hanging="142"/>
        <w:rPr>
          <w:rFonts w:ascii="宋体" w:hAnsi="宋体"/>
          <w:b/>
          <w:bCs w:val="0"/>
          <w:sz w:val="24"/>
          <w:szCs w:val="24"/>
        </w:rPr>
      </w:pPr>
      <w:r w:rsidRPr="0045498A">
        <w:rPr>
          <w:rFonts w:ascii="宋体" w:hAnsi="宋体" w:cs="宋体" w:hint="eastAsia"/>
          <w:b/>
          <w:bCs w:val="0"/>
          <w:sz w:val="24"/>
          <w:szCs w:val="24"/>
        </w:rPr>
        <w:t>给排水专业</w:t>
      </w:r>
    </w:p>
    <w:p w14:paraId="37F0F8FB"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cs="宋体" w:hint="eastAsia"/>
          <w:sz w:val="24"/>
          <w:szCs w:val="24"/>
        </w:rPr>
        <w:t>总体要求</w:t>
      </w:r>
    </w:p>
    <w:p w14:paraId="328C7E7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设计需充分考虑园区地形特点，针对地形进行给排水设计，在现场调研和勘察的基础上，从区域的整体性和系统性出发，将园区的规划与现有市政有机结合，同时充分考虑用水分区，为园区提供安全、可靠的给排水系统。</w:t>
      </w:r>
    </w:p>
    <w:p w14:paraId="52DC676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需根据园区对水质、水压、水量的要求，并结合外部市政系统情况进行园区给排水合理划分。遵照系统先进、技术成熟、合理、节能、环保的理念，进行生活、生产给水系统、</w:t>
      </w:r>
      <w:r w:rsidRPr="0045498A">
        <w:rPr>
          <w:rFonts w:ascii="宋体" w:hAnsi="宋体" w:hint="eastAsia"/>
          <w:sz w:val="24"/>
        </w:rPr>
        <w:lastRenderedPageBreak/>
        <w:t>消防给水系统、污废水系统、雨水排水系统、机房排水系统等设计，并对其中的节能、节水、卫生防疫、水资源利用（海绵城市）等方面</w:t>
      </w:r>
      <w:proofErr w:type="gramStart"/>
      <w:r w:rsidRPr="0045498A">
        <w:rPr>
          <w:rFonts w:ascii="宋体" w:hAnsi="宋体" w:hint="eastAsia"/>
          <w:sz w:val="24"/>
        </w:rPr>
        <w:t>作出</w:t>
      </w:r>
      <w:proofErr w:type="gramEnd"/>
      <w:r w:rsidRPr="0045498A">
        <w:rPr>
          <w:rFonts w:ascii="宋体" w:hAnsi="宋体" w:hint="eastAsia"/>
          <w:sz w:val="24"/>
        </w:rPr>
        <w:t>专项说明。在建筑给水进口和各用水系统装设水表，做到分级计量，避免浪费。选用国家有关部门认可的节能产品。</w:t>
      </w:r>
    </w:p>
    <w:p w14:paraId="6C78DCBF"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生活给水系统</w:t>
      </w:r>
    </w:p>
    <w:p w14:paraId="73B979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生活给水系统应充分利用城镇供水管网的水压直接供水，节约能源；给水的用水定额和水压根据不同的功能给予设计。用水应根据不同的功能要求和管理要求设置计量设备。给水系统按满足配水点的水量和水压的要求进行竖向分区 ,做到分区合理，供水系统应安全可靠，节能节水。设计中须考虑防止水质污染的措施。</w:t>
      </w:r>
    </w:p>
    <w:p w14:paraId="2D869020"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生产给水系统</w:t>
      </w:r>
    </w:p>
    <w:p w14:paraId="1E53E32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楼的生产给水按两路市政进水设计。冷却水补水设置补水系统，冷却补水系统设置环管及双路供水，应考虑设备的在线隔离维修设计。冷却补水管管材的选择和管道连接方式应充分考虑管道的耐腐蚀性和检修便利性。管路禁止穿越主机房和重要配电区域。冷却补水、冷冻补水管道系统应根据当地自然环境因素、环保及相关规范要求，设置过滤、加药、除垢等水处理措施，满足规范中对冷却水、</w:t>
      </w:r>
      <w:proofErr w:type="gramStart"/>
      <w:r w:rsidRPr="0045498A">
        <w:rPr>
          <w:rFonts w:ascii="宋体" w:hAnsi="宋体" w:hint="eastAsia"/>
          <w:sz w:val="24"/>
        </w:rPr>
        <w:t>冷冻水运行</w:t>
      </w:r>
      <w:proofErr w:type="gramEnd"/>
      <w:r w:rsidRPr="0045498A">
        <w:rPr>
          <w:rFonts w:ascii="宋体" w:hAnsi="宋体" w:hint="eastAsia"/>
          <w:sz w:val="24"/>
        </w:rPr>
        <w:t>水质要求。</w:t>
      </w:r>
      <w:proofErr w:type="gramStart"/>
      <w:r w:rsidRPr="0045498A">
        <w:rPr>
          <w:rFonts w:ascii="宋体" w:hAnsi="宋体" w:hint="eastAsia"/>
          <w:sz w:val="24"/>
        </w:rPr>
        <w:t>冷冻水</w:t>
      </w:r>
      <w:proofErr w:type="gramEnd"/>
      <w:r w:rsidRPr="0045498A">
        <w:rPr>
          <w:rFonts w:ascii="宋体" w:hAnsi="宋体" w:hint="eastAsia"/>
          <w:sz w:val="24"/>
        </w:rPr>
        <w:t>补水设置补水系统。冷却水、</w:t>
      </w:r>
      <w:proofErr w:type="gramStart"/>
      <w:r w:rsidRPr="0045498A">
        <w:rPr>
          <w:rFonts w:ascii="宋体" w:hAnsi="宋体" w:hint="eastAsia"/>
          <w:sz w:val="24"/>
        </w:rPr>
        <w:t>冷冻水</w:t>
      </w:r>
      <w:proofErr w:type="gramEnd"/>
      <w:r w:rsidRPr="0045498A">
        <w:rPr>
          <w:rFonts w:ascii="宋体" w:hAnsi="宋体" w:hint="eastAsia"/>
          <w:sz w:val="24"/>
        </w:rPr>
        <w:t>管网考虑快速补水方式、以便应急状况下快速补水。屋外设备考虑给水设计，方便设备维护、保洁。</w:t>
      </w:r>
    </w:p>
    <w:p w14:paraId="133F477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考虑市政给水停水时冷冻水、冷却水系统用水需求，设置应急补水设施，满足国际 A 级标准机楼的要求。</w:t>
      </w:r>
    </w:p>
    <w:p w14:paraId="7DA534F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通信机楼冷却塔补水用水，采用两路补水。生产水池考虑在线清洗，总储存水量不小于机房满负荷时12h的用水量。</w:t>
      </w:r>
    </w:p>
    <w:p w14:paraId="45EE8D73" w14:textId="77777777" w:rsidR="00616558" w:rsidRPr="0045498A" w:rsidRDefault="00000000" w:rsidP="00C62299">
      <w:pPr>
        <w:pStyle w:val="4"/>
        <w:spacing w:before="0" w:after="0" w:line="360" w:lineRule="auto"/>
        <w:ind w:left="425"/>
        <w:rPr>
          <w:rFonts w:ascii="宋体" w:hAnsi="宋体"/>
          <w:sz w:val="24"/>
          <w:szCs w:val="24"/>
        </w:rPr>
      </w:pPr>
      <w:proofErr w:type="gramStart"/>
      <w:r w:rsidRPr="0045498A">
        <w:rPr>
          <w:rFonts w:ascii="宋体" w:hAnsi="宋体" w:hint="eastAsia"/>
          <w:sz w:val="24"/>
          <w:szCs w:val="24"/>
        </w:rPr>
        <w:t>污</w:t>
      </w:r>
      <w:proofErr w:type="gramEnd"/>
      <w:r w:rsidRPr="0045498A">
        <w:rPr>
          <w:rFonts w:ascii="宋体" w:hAnsi="宋体" w:hint="eastAsia"/>
          <w:sz w:val="24"/>
          <w:szCs w:val="24"/>
        </w:rPr>
        <w:t>废水系统</w:t>
      </w:r>
    </w:p>
    <w:p w14:paraId="6BB54FD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洗涤废水直接排入室外污水管道，粪便污水及餐厨废水经处理后排入室外污水管道。洗涤废水、粪便污水及餐厨废水排水管严禁穿越机房、配电房、</w:t>
      </w:r>
      <w:proofErr w:type="gramStart"/>
      <w:r w:rsidRPr="0045498A">
        <w:rPr>
          <w:rFonts w:ascii="宋体" w:hAnsi="宋体" w:hint="eastAsia"/>
          <w:sz w:val="24"/>
        </w:rPr>
        <w:t>强弱电间等</w:t>
      </w:r>
      <w:proofErr w:type="gramEnd"/>
      <w:r w:rsidRPr="0045498A">
        <w:rPr>
          <w:rFonts w:ascii="宋体" w:hAnsi="宋体" w:hint="eastAsia"/>
          <w:sz w:val="24"/>
        </w:rPr>
        <w:t>区域。</w:t>
      </w:r>
    </w:p>
    <w:p w14:paraId="25C3D301"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雨水排水系统</w:t>
      </w:r>
    </w:p>
    <w:p w14:paraId="64828B5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现场调研和勘察的基础上，统筹规划园区排水管网，主排水总管考虑与市政排水方便连接。通信机楼机房屋面排水优先考虑虹吸雨水排水系统。考虑园区内涝防治系统，作园区洪涝灾害及排水能力风险评估，充分考虑到从化地区的地理气候条件，按设计重现期，计算园区暴雨时的排水能力。</w:t>
      </w:r>
    </w:p>
    <w:p w14:paraId="7F27F7A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本项目的排水系统不产生有毒和有害污水，产生的污水可排至市政污水管网，雨水可通过地面径流、排水明沟等方式汇流至园区周边的市政雨水管网。</w:t>
      </w:r>
    </w:p>
    <w:p w14:paraId="3B55596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建筑屋面雨水排水系统的排水能力，按 10 年重现期的雨水量设计，降雨历时 5min。本工程室外雨水管、</w:t>
      </w:r>
      <w:proofErr w:type="gramStart"/>
      <w:r w:rsidRPr="0045498A">
        <w:rPr>
          <w:rFonts w:ascii="宋体" w:hAnsi="宋体" w:hint="eastAsia"/>
          <w:sz w:val="24"/>
        </w:rPr>
        <w:t>渠设计</w:t>
      </w:r>
      <w:proofErr w:type="gramEnd"/>
      <w:r w:rsidRPr="0045498A">
        <w:rPr>
          <w:rFonts w:ascii="宋体" w:hAnsi="宋体" w:hint="eastAsia"/>
          <w:sz w:val="24"/>
        </w:rPr>
        <w:t>重现期为 5 年，降雨历时15min。屋面雨水排水系统与溢流设施的总排水能力按50 年重现期的雨水量校核。</w:t>
      </w:r>
    </w:p>
    <w:p w14:paraId="5452944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设置道路雨水口，雨水沟。室外雨水经园区雨水管道收集后，排至市政雨水管网。本工程充分考虑海绵城市的水资源管理策略和方法。工程设计应因地制宜，采取“渗、滞、蓄、净、用、排”等多种技术，以达到自然积存、自然渗透、自然净化的雨水控制目标。采用透水铺装、下沉式绿地、蓄水池、植草沟、植被缓冲带、初期</w:t>
      </w:r>
      <w:proofErr w:type="gramStart"/>
      <w:r w:rsidRPr="0045498A">
        <w:rPr>
          <w:rFonts w:ascii="宋体" w:hAnsi="宋体" w:hint="eastAsia"/>
          <w:sz w:val="24"/>
        </w:rPr>
        <w:t>雨水弃流设施</w:t>
      </w:r>
      <w:proofErr w:type="gramEnd"/>
      <w:r w:rsidRPr="0045498A">
        <w:rPr>
          <w:rFonts w:ascii="宋体" w:hAnsi="宋体" w:hint="eastAsia"/>
          <w:sz w:val="24"/>
        </w:rPr>
        <w:t>、人工土壤渗滤等工程措施。透水铺装设计及施工应满足国家有关标准规范的要求。低影响开发设施应设置溢流排放系统，并与城市雨水管</w:t>
      </w:r>
      <w:proofErr w:type="gramStart"/>
      <w:r w:rsidRPr="0045498A">
        <w:rPr>
          <w:rFonts w:ascii="宋体" w:hAnsi="宋体" w:hint="eastAsia"/>
          <w:sz w:val="24"/>
        </w:rPr>
        <w:t>渠系统</w:t>
      </w:r>
      <w:proofErr w:type="gramEnd"/>
      <w:r w:rsidRPr="0045498A">
        <w:rPr>
          <w:rFonts w:ascii="宋体" w:hAnsi="宋体" w:hint="eastAsia"/>
          <w:sz w:val="24"/>
        </w:rPr>
        <w:t>或超标雨水径流排放系统有效衔接。为满足海绵城市建设的要求，园区区域雨水径流进入绿地前，利用植草沟和植被过滤带等设施对雨水径流进行预处理。</w:t>
      </w:r>
    </w:p>
    <w:p w14:paraId="7F0EA6C0"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机房排水系统</w:t>
      </w:r>
    </w:p>
    <w:p w14:paraId="702020D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地漏排水管严禁穿越机房、变电所等区域。空调间冷凝排水、管道漏水应设有快速排水措施，具有漏水报警系统。本项目生产排水主要为冷冻站、空调机房、数据机房的设备排水及屋顶冷却塔排水；生活排水主要为卫生间排水；事故排水主要为各层管道及设备的泄漏、检修和消防排水。排水系统采用雨污分流制。</w:t>
      </w:r>
    </w:p>
    <w:p w14:paraId="1B98B32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冷冻站排水：冷冻站内设置排水沟与集水坑，废水汇集在集水坑后，通过自流排至室外管网；若无自流排水条件，则通过潜水泵排出。</w:t>
      </w:r>
    </w:p>
    <w:p w14:paraId="4C1D609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空调机房排水：地面设密闭式防臭地漏，用于排出空调冷凝水和地面积水。屋顶冷却塔排水：屋顶冷却塔排水经管道统</w:t>
      </w:r>
      <w:proofErr w:type="gramStart"/>
      <w:r w:rsidRPr="0045498A">
        <w:rPr>
          <w:rFonts w:ascii="宋体" w:hAnsi="宋体" w:hint="eastAsia"/>
          <w:sz w:val="24"/>
        </w:rPr>
        <w:t>一</w:t>
      </w:r>
      <w:proofErr w:type="gramEnd"/>
      <w:r w:rsidRPr="0045498A">
        <w:rPr>
          <w:rFonts w:ascii="宋体" w:hAnsi="宋体" w:hint="eastAsia"/>
          <w:sz w:val="24"/>
        </w:rPr>
        <w:t>收集后，排至室外污水管网。机房给排水管路应有活接、检修口等方便检修维护的设置，阀门尽量避免设置在吊顶内，机房空调区管路尽量落地敷设。</w:t>
      </w:r>
    </w:p>
    <w:p w14:paraId="1E0F6C01" w14:textId="77777777" w:rsidR="00616558" w:rsidRPr="0045498A" w:rsidRDefault="00000000" w:rsidP="00C62299">
      <w:pPr>
        <w:pStyle w:val="3"/>
        <w:spacing w:before="0" w:after="0" w:line="360" w:lineRule="auto"/>
        <w:ind w:left="142" w:hanging="142"/>
        <w:rPr>
          <w:rFonts w:ascii="宋体" w:hAnsi="宋体"/>
          <w:b/>
          <w:bCs w:val="0"/>
          <w:sz w:val="24"/>
          <w:szCs w:val="24"/>
        </w:rPr>
      </w:pPr>
      <w:r w:rsidRPr="0045498A">
        <w:rPr>
          <w:rFonts w:ascii="宋体" w:hAnsi="宋体" w:cs="宋体" w:hint="eastAsia"/>
          <w:b/>
          <w:bCs w:val="0"/>
          <w:sz w:val="24"/>
          <w:szCs w:val="24"/>
        </w:rPr>
        <w:t>电气专业</w:t>
      </w:r>
    </w:p>
    <w:p w14:paraId="50AF3276"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总体要求</w:t>
      </w:r>
    </w:p>
    <w:p w14:paraId="6C2FB95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电气系统设计遵循《数据中心设计规范》（GB50174-2017）和电信集团机电配置优化标准并进行。供电系统设计必须满足高可靠性和安全性要求，通信机楼变配电设备应分别布置在不同的物理隔间内。配电房设计应满足变电所相关设计规范，考虑防水要求。</w:t>
      </w:r>
    </w:p>
    <w:p w14:paraId="7DE76FE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小地块规划设备总安装容量估算约为 80000kVA，需要从园区</w:t>
      </w:r>
      <w:proofErr w:type="gramStart"/>
      <w:r w:rsidRPr="0045498A">
        <w:rPr>
          <w:rFonts w:ascii="宋体" w:hAnsi="宋体" w:hint="eastAsia"/>
          <w:sz w:val="24"/>
        </w:rPr>
        <w:t>外拟各</w:t>
      </w:r>
      <w:proofErr w:type="gramEnd"/>
      <w:r w:rsidRPr="0045498A">
        <w:rPr>
          <w:rFonts w:ascii="宋体" w:hAnsi="宋体" w:hint="eastAsia"/>
          <w:sz w:val="24"/>
        </w:rPr>
        <w:t>引入不少于8路 A,B 路电源作为正常工作电源。两路电源互为备用，路由独立，当一个电源发生故障时，另一个电源不应同时受到损坏。</w:t>
      </w:r>
    </w:p>
    <w:p w14:paraId="32BD4E5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A2通信枢纽楼终期规划引入4路10kV市电电源，每一路市电容量约为10000kVA。</w:t>
      </w:r>
      <w:r w:rsidRPr="0045498A">
        <w:rPr>
          <w:rFonts w:ascii="宋体" w:hAnsi="宋体"/>
          <w:sz w:val="24"/>
        </w:rPr>
        <w:t>本项目一期土建工程</w:t>
      </w:r>
      <w:r w:rsidRPr="0045498A">
        <w:rPr>
          <w:rFonts w:ascii="宋体" w:hAnsi="宋体" w:hint="eastAsia"/>
          <w:sz w:val="24"/>
        </w:rPr>
        <w:t>需</w:t>
      </w:r>
      <w:r w:rsidRPr="0045498A">
        <w:rPr>
          <w:rFonts w:ascii="宋体" w:hAnsi="宋体"/>
          <w:sz w:val="24"/>
        </w:rPr>
        <w:t>引入一路10</w:t>
      </w:r>
      <w:r w:rsidRPr="0045498A">
        <w:rPr>
          <w:rFonts w:ascii="宋体" w:hAnsi="宋体" w:hint="eastAsia"/>
          <w:sz w:val="24"/>
        </w:rPr>
        <w:t>kV</w:t>
      </w:r>
      <w:r w:rsidRPr="0045498A">
        <w:rPr>
          <w:rFonts w:ascii="宋体" w:hAnsi="宋体"/>
          <w:sz w:val="24"/>
        </w:rPr>
        <w:t>市电</w:t>
      </w:r>
      <w:r w:rsidRPr="0045498A">
        <w:rPr>
          <w:rFonts w:ascii="宋体" w:hAnsi="宋体" w:hint="eastAsia"/>
          <w:sz w:val="24"/>
        </w:rPr>
        <w:t>至</w:t>
      </w:r>
      <w:r w:rsidRPr="0045498A">
        <w:rPr>
          <w:rFonts w:ascii="宋体" w:hAnsi="宋体"/>
          <w:sz w:val="24"/>
        </w:rPr>
        <w:t>B1运</w:t>
      </w:r>
      <w:proofErr w:type="gramStart"/>
      <w:r w:rsidRPr="0045498A">
        <w:rPr>
          <w:rFonts w:ascii="宋体" w:hAnsi="宋体"/>
          <w:sz w:val="24"/>
        </w:rPr>
        <w:t>维保障</w:t>
      </w:r>
      <w:proofErr w:type="gramEnd"/>
      <w:r w:rsidRPr="0045498A">
        <w:rPr>
          <w:rFonts w:ascii="宋体" w:hAnsi="宋体"/>
          <w:sz w:val="24"/>
        </w:rPr>
        <w:t>中心，以满足前期</w:t>
      </w:r>
      <w:r w:rsidRPr="0045498A">
        <w:rPr>
          <w:rFonts w:ascii="宋体" w:hAnsi="宋体" w:hint="eastAsia"/>
          <w:sz w:val="24"/>
        </w:rPr>
        <w:t>A2</w:t>
      </w:r>
      <w:r w:rsidRPr="0045498A">
        <w:rPr>
          <w:rFonts w:ascii="宋体" w:hAnsi="宋体"/>
          <w:sz w:val="24"/>
        </w:rPr>
        <w:t>栋、C1动力中心和B1运</w:t>
      </w:r>
      <w:proofErr w:type="gramStart"/>
      <w:r w:rsidRPr="0045498A">
        <w:rPr>
          <w:rFonts w:ascii="宋体" w:hAnsi="宋体"/>
          <w:sz w:val="24"/>
        </w:rPr>
        <w:t>维保障</w:t>
      </w:r>
      <w:proofErr w:type="gramEnd"/>
      <w:r w:rsidRPr="0045498A">
        <w:rPr>
          <w:rFonts w:ascii="宋体" w:hAnsi="宋体"/>
          <w:sz w:val="24"/>
        </w:rPr>
        <w:t>中心等</w:t>
      </w:r>
      <w:r w:rsidRPr="0045498A">
        <w:rPr>
          <w:rFonts w:ascii="宋体" w:hAnsi="宋体" w:hint="eastAsia"/>
          <w:sz w:val="24"/>
        </w:rPr>
        <w:t>3栋</w:t>
      </w:r>
      <w:r w:rsidRPr="0045498A">
        <w:rPr>
          <w:rFonts w:ascii="宋体" w:hAnsi="宋体"/>
          <w:sz w:val="24"/>
        </w:rPr>
        <w:t>楼土建验收用电需求。</w:t>
      </w:r>
    </w:p>
    <w:p w14:paraId="2372E32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供电系统设计需综合考虑现有电力资源配置及整体园区电缆通道敷设情况，合理设计本期项目的 10kV 电缆路由。园区内通信机楼供配电系统设计必须满足供电方的审核要求，设计应满足国家、行业等技术标准规范要求。</w:t>
      </w:r>
    </w:p>
    <w:p w14:paraId="0980311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供配电系统的设计和建设须考虑项目分阶段建设、后期逐步扩容的需求，在进行变配电系统设计时应考虑分步实施的可行性，避免后期的项目施工对前期已投产的系统和设备运行产生影响。</w:t>
      </w:r>
    </w:p>
    <w:p w14:paraId="15E74F5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变配电所采用智能化保护装置和变电所综合自动化系统。高压配电系统架构满足系统安全切换要求，支持自动切换和手动切换两种方式，提供 10KV 市电投切逻辑控制图。具备后台操作功能，能完成遥信、遥测、遥控。架构设计方案以安全可靠、维护工作量少为原则。</w:t>
      </w:r>
    </w:p>
    <w:p w14:paraId="65DB813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电气设计应以长期安全可靠的供电为基础，并保证所有的操作和维修活动均能安全和方便地进行，应考虑节能措施。设计负荷应采用科学的、准确的计算方法，提供详细的负荷计算表，为供配电系统架构构建、设备选型等提供依据。</w:t>
      </w:r>
    </w:p>
    <w:p w14:paraId="30F9E9B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供电系统设计综合考虑电缆线路的安全载流量和各功能单元的用电负荷需求，优化电源配置。防雷和接地设计应符合《建筑物防雷设计规范》和《建筑物电子信息系统防雷设计规范》的有关规定。数据机房内的电子信息设备应进行等电位连接。防雷设计应通过相关单位审核。</w:t>
      </w:r>
    </w:p>
    <w:p w14:paraId="7E86C75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本次设计范围从110kV专用变电站或公共开关房中10kV 馈线输出侧开始（具体界面待中标后与当地供电局确定），直至通信机楼末端为止。投标人自行规划通信机楼 10kV 系统方案，中标后须满足当地供电部门图审和审批要求。</w:t>
      </w:r>
    </w:p>
    <w:p w14:paraId="13999272"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通信机楼 10KV 供电系统</w:t>
      </w:r>
    </w:p>
    <w:p w14:paraId="0593EA6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供电电源为三相、50Hz，规划供电架构应考虑系统运行的安全、稳定、可靠、经济运行原则，电缆线路经济载流量满足相关要求；本项目的电力负荷等级为一级，供电方式应采用一类市电(两路独立电源)，即每套高压系统采用两路10kV高压进线，正常运行时，两路电源同时工作，互为备用，当某一路电源失电时，</w:t>
      </w:r>
      <w:proofErr w:type="gramStart"/>
      <w:r w:rsidRPr="0045498A">
        <w:rPr>
          <w:rFonts w:ascii="宋体" w:hAnsi="宋体" w:hint="eastAsia"/>
          <w:sz w:val="24"/>
        </w:rPr>
        <w:t>母联开关</w:t>
      </w:r>
      <w:proofErr w:type="gramEnd"/>
      <w:r w:rsidRPr="0045498A">
        <w:rPr>
          <w:rFonts w:ascii="宋体" w:hAnsi="宋体" w:hint="eastAsia"/>
          <w:sz w:val="24"/>
        </w:rPr>
        <w:t>自动投入，由另一路电源担负全部负荷；两路电源采用专线市电电源，可接自不同的变配电所，以确保供电的可靠性。另设柴油发电机组作为应急保证电源。</w:t>
      </w:r>
    </w:p>
    <w:p w14:paraId="1694DDE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变配电设计应考虑通信机楼用市电和办公、生活用市电分别引入。</w:t>
      </w:r>
    </w:p>
    <w:p w14:paraId="6811578E"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变压器及其低压配电系统</w:t>
      </w:r>
    </w:p>
    <w:p w14:paraId="7C58D9B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建筑内低压配电为 230/400V，三相四线制 TN-S 系统。</w:t>
      </w:r>
    </w:p>
    <w:p w14:paraId="77A560B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A2通信枢纽楼变压器采用 2N系统设计，满足容错要求。变压器经常性负载率在50%以下，当一台变压器故障或检修时，由另一台变压器带起全部负荷。变压器需考虑单独房间布置，由变压器经低压开关柜放射式或树干式向各配电/用电设备供电。变压器应选</w:t>
      </w:r>
      <w:proofErr w:type="gramStart"/>
      <w:r w:rsidRPr="0045498A">
        <w:rPr>
          <w:rFonts w:ascii="宋体" w:hAnsi="宋体" w:hint="eastAsia"/>
          <w:sz w:val="24"/>
        </w:rPr>
        <w:t>择技术</w:t>
      </w:r>
      <w:proofErr w:type="gramEnd"/>
      <w:r w:rsidRPr="0045498A">
        <w:rPr>
          <w:rFonts w:ascii="宋体" w:hAnsi="宋体" w:hint="eastAsia"/>
          <w:sz w:val="24"/>
        </w:rPr>
        <w:t>先进，安全可靠，高效节能型非晶合金或干式变压器产品。优化容量配置，合理布局，降低通信机楼能耗。</w:t>
      </w:r>
    </w:p>
    <w:p w14:paraId="1E7BB2C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一般设备采用树干式供电系统，重要设备采用放射式供电; 有触电危险的电气设备、插座专用回路设置漏电电流动作保护；照度标准按现行国家标准《建筑照明设计标准》和《建筑节能与可再生能源利用通用规范》执行。</w:t>
      </w:r>
    </w:p>
    <w:p w14:paraId="0A8670F6"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柴油发电机组规划预留空间原则</w:t>
      </w:r>
    </w:p>
    <w:p w14:paraId="62A839B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为使通信机楼尽可能多排布 IT 机柜，充分利用市电容量及便于后期维护管理，通信机楼的柴油发电机组均采用10kV高压柴油发电机组。</w:t>
      </w:r>
    </w:p>
    <w:p w14:paraId="6ABB5C6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本项目需要油机保障的负荷，需综合国标及电信内部规定对油机配置要求确定，满足 A 级要求。柴油发电机容量应能同时满足 IT 负荷功率、蓄电池组充电功率、空调以及应急照明、消防电梯、消防水泵等其他保证负荷功率；柴油发电机单机容量（不含备用柴油发电机）应当按照电信主用容量设计。</w:t>
      </w:r>
    </w:p>
    <w:p w14:paraId="30D5A2D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柴油发电机组需要按照 N 配置；后期保留备用油机接入的能力。每台柴油发电机应配置日用油箱，以及相应管道联通室外储油罐，保障每台柴油发电机日用油箱液位</w:t>
      </w:r>
      <w:proofErr w:type="gramStart"/>
      <w:r w:rsidRPr="0045498A">
        <w:rPr>
          <w:rFonts w:ascii="宋体" w:hAnsi="宋体" w:hint="eastAsia"/>
          <w:sz w:val="24"/>
        </w:rPr>
        <w:t>接近低液</w:t>
      </w:r>
      <w:proofErr w:type="gramEnd"/>
      <w:r w:rsidRPr="0045498A">
        <w:rPr>
          <w:rFonts w:ascii="宋体" w:hAnsi="宋体" w:hint="eastAsia"/>
          <w:sz w:val="24"/>
        </w:rPr>
        <w:t>位时，可自动通过输油泵及管道从室外储油罐获得油料补充；柴油发电机油料储备应不小于负载 8 小时需求，地埋油罐应设置两个，每个按照不少于油料总储量的 1/2 设计。</w:t>
      </w:r>
    </w:p>
    <w:p w14:paraId="0ED57C8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柴油发电机进排风,柴油发电机应优先采用自然进风,避免柴油发电机进风、排风短路造成柴油发电机容量损失。</w:t>
      </w:r>
    </w:p>
    <w:p w14:paraId="2F183AF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发电机组需要配置保温缸套、热水套管等防冻措施。</w:t>
      </w:r>
    </w:p>
    <w:p w14:paraId="4F9BC8DC" w14:textId="77777777" w:rsidR="00616558" w:rsidRPr="0045498A" w:rsidRDefault="00000000" w:rsidP="00FC4798">
      <w:pPr>
        <w:pStyle w:val="3"/>
        <w:spacing w:before="0" w:after="0" w:line="360" w:lineRule="auto"/>
        <w:ind w:left="142" w:hanging="142"/>
        <w:rPr>
          <w:rFonts w:ascii="宋体" w:hAnsi="宋体"/>
          <w:b/>
          <w:bCs w:val="0"/>
          <w:sz w:val="24"/>
          <w:szCs w:val="24"/>
        </w:rPr>
      </w:pPr>
      <w:r w:rsidRPr="0045498A">
        <w:rPr>
          <w:rFonts w:ascii="宋体" w:hAnsi="宋体" w:hint="eastAsia"/>
          <w:b/>
          <w:bCs w:val="0"/>
          <w:sz w:val="24"/>
          <w:szCs w:val="24"/>
        </w:rPr>
        <w:t>（通信）工艺专业</w:t>
      </w:r>
    </w:p>
    <w:p w14:paraId="26758EAB" w14:textId="77777777" w:rsidR="00616558" w:rsidRPr="0045498A" w:rsidRDefault="00000000">
      <w:pPr>
        <w:spacing w:line="360" w:lineRule="auto"/>
        <w:rPr>
          <w:rFonts w:ascii="宋体" w:hAnsi="宋体"/>
          <w:sz w:val="24"/>
        </w:rPr>
      </w:pPr>
      <w:r w:rsidRPr="0045498A">
        <w:rPr>
          <w:rFonts w:ascii="宋体" w:hAnsi="宋体" w:hint="eastAsia"/>
          <w:sz w:val="24"/>
        </w:rPr>
        <w:t xml:space="preserve">     通信工艺不在本次设计范围，以下要求仅用来指引工艺平面的规划，投标人中标后应根据招标人的实际需求进行调整。</w:t>
      </w:r>
    </w:p>
    <w:p w14:paraId="06EEFB6F" w14:textId="77777777" w:rsidR="00616558" w:rsidRPr="0045498A" w:rsidRDefault="00000000" w:rsidP="00C62299">
      <w:pPr>
        <w:pStyle w:val="4"/>
        <w:spacing w:before="0" w:after="0" w:line="360" w:lineRule="auto"/>
        <w:ind w:left="425"/>
        <w:rPr>
          <w:rFonts w:ascii="宋体" w:hAnsi="宋体"/>
          <w:sz w:val="24"/>
          <w:szCs w:val="24"/>
        </w:rPr>
      </w:pPr>
      <w:r w:rsidRPr="0045498A">
        <w:rPr>
          <w:rFonts w:ascii="宋体" w:hAnsi="宋体" w:hint="eastAsia"/>
          <w:sz w:val="24"/>
          <w:szCs w:val="24"/>
        </w:rPr>
        <w:t>基本要求</w:t>
      </w:r>
    </w:p>
    <w:p w14:paraId="1930857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通信机房分为进线间、核心网络机房、机房汇聚区、区域配线区等。</w:t>
      </w:r>
    </w:p>
    <w:p w14:paraId="757D5CF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从安全的角度考虑，分别规划两个不同的进线间，并采用不同的走线路由和传输管道出局。这样可以在一个方向的设备或线路故障时，确保通信服务的连续性。</w:t>
      </w:r>
    </w:p>
    <w:p w14:paraId="6564E3D8"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(1)接入间</w:t>
      </w:r>
    </w:p>
    <w:p w14:paraId="6A85CD9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在机楼的首层设置2个互为备用的进线间，均用于安装传输设备、ODF、出口路由器等设备，在接入间完成室内通信线缆和出局通信线缆的转接，接入间之间敷设光缆互相联通。</w:t>
      </w:r>
    </w:p>
    <w:p w14:paraId="2A2C8720"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(2)主配线区</w:t>
      </w:r>
    </w:p>
    <w:p w14:paraId="0948A0B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每层的适当位置设置主配线区（即MDA），应位于机房的两侧，不共用电力配电设备、空调设备等。用于安装通信机楼核心路由器、核心交换机、ODF、配线架等。每个接入间至每个主配线区分别设置不同的光缆及铜缆路由。</w:t>
      </w:r>
    </w:p>
    <w:p w14:paraId="424AF210"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(3)水平配线区</w:t>
      </w:r>
    </w:p>
    <w:p w14:paraId="5035184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机房内设置汇聚区域（即HDA），水平配线区相当于一个汇接的配线区域，用于安装汇接/接入交换机、ODF、网络配线架等。两个配线区不共用电力配电设备、空调设备等。每个主配线区至每个水平配线区分别设置不同的光缆及铜缆路由。</w:t>
      </w:r>
    </w:p>
    <w:p w14:paraId="1FF0DB58"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(4)区域配线区</w:t>
      </w:r>
    </w:p>
    <w:p w14:paraId="761B955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区域配线区相当于每一列的配线区域，用于安装接入交换机、SAN交换机、</w:t>
      </w:r>
      <w:proofErr w:type="spellStart"/>
      <w:r w:rsidRPr="0045498A">
        <w:rPr>
          <w:rFonts w:ascii="宋体" w:hAnsi="宋体" w:hint="eastAsia"/>
          <w:sz w:val="24"/>
        </w:rPr>
        <w:t>kVM</w:t>
      </w:r>
      <w:proofErr w:type="spellEnd"/>
      <w:r w:rsidRPr="0045498A">
        <w:rPr>
          <w:rFonts w:ascii="宋体" w:hAnsi="宋体" w:hint="eastAsia"/>
          <w:sz w:val="24"/>
        </w:rPr>
        <w:t>交换机、ODF、网络配线架等。每个区域配线区到水平配线区分别布放有2条光缆路由。</w:t>
      </w:r>
    </w:p>
    <w:p w14:paraId="1B3DD4D3"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(5)设备配线区</w:t>
      </w:r>
    </w:p>
    <w:p w14:paraId="2E1A536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在每个机柜内部</w:t>
      </w:r>
      <w:proofErr w:type="gramStart"/>
      <w:r w:rsidRPr="0045498A">
        <w:rPr>
          <w:rFonts w:ascii="宋体" w:hAnsi="宋体" w:hint="eastAsia"/>
          <w:sz w:val="24"/>
        </w:rPr>
        <w:t>设置预端接</w:t>
      </w:r>
      <w:proofErr w:type="gramEnd"/>
      <w:r w:rsidRPr="0045498A">
        <w:rPr>
          <w:rFonts w:ascii="宋体" w:hAnsi="宋体" w:hint="eastAsia"/>
          <w:sz w:val="24"/>
        </w:rPr>
        <w:t>光纤配线单元或24口/48口6类UTP配线单元，每个机柜分别接入至其所在区域的两个区域配线设备。上述结构化综合布线方案，整个通信机楼网络布线为全网状结构，任何一台设备，均可通过两个不同的物理传输路由，进行数据的存储、传输和交换。</w:t>
      </w:r>
    </w:p>
    <w:p w14:paraId="42FF86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大楼出局电缆，主干电缆（</w:t>
      </w:r>
      <w:proofErr w:type="gramStart"/>
      <w:r w:rsidRPr="0045498A">
        <w:rPr>
          <w:rFonts w:ascii="宋体" w:hAnsi="宋体" w:hint="eastAsia"/>
          <w:sz w:val="24"/>
        </w:rPr>
        <w:t>指核心</w:t>
      </w:r>
      <w:proofErr w:type="gramEnd"/>
      <w:r w:rsidRPr="0045498A">
        <w:rPr>
          <w:rFonts w:ascii="宋体" w:hAnsi="宋体" w:hint="eastAsia"/>
          <w:sz w:val="24"/>
        </w:rPr>
        <w:t>层设备到通信运营商传输设备，汇聚层设备到核心层设备）采用双路由冗余方式，途经不同的走线孔。水平电缆（指接入层设备到汇聚层设备）采用双路由方式。这种方式能避免单点故障，符合T3级机房标准和A级机房标准要求。</w:t>
      </w:r>
    </w:p>
    <w:p w14:paraId="5FD0A5B8"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t>主要指标</w:t>
      </w:r>
    </w:p>
    <w:p w14:paraId="62726AF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综合考虑机房等级定位、土建规划面积、供电能力、制冷能力等要素，设置实用数据机柜不应低于可</w:t>
      </w:r>
      <w:proofErr w:type="gramStart"/>
      <w:r w:rsidRPr="0045498A">
        <w:rPr>
          <w:rFonts w:ascii="宋体" w:hAnsi="宋体" w:hint="eastAsia"/>
          <w:sz w:val="24"/>
        </w:rPr>
        <w:t>研</w:t>
      </w:r>
      <w:proofErr w:type="gramEnd"/>
      <w:r w:rsidRPr="0045498A">
        <w:rPr>
          <w:rFonts w:ascii="宋体" w:hAnsi="宋体" w:hint="eastAsia"/>
          <w:sz w:val="24"/>
        </w:rPr>
        <w:t>要求。</w:t>
      </w:r>
    </w:p>
    <w:p w14:paraId="5A7D9D5B"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lastRenderedPageBreak/>
        <w:t>机柜要求</w:t>
      </w:r>
    </w:p>
    <w:p w14:paraId="200A84E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机柜尺寸 600mm×1200mm×2200mm，需配置侧板、满配盲板、前后网孔门、配置双 PDU。机房内及冷通道内照度要求不低于 500lx。</w:t>
      </w:r>
    </w:p>
    <w:p w14:paraId="4E9A3BE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机柜采用</w:t>
      </w:r>
      <w:proofErr w:type="gramStart"/>
      <w:r w:rsidRPr="0045498A">
        <w:rPr>
          <w:rFonts w:ascii="宋体" w:hAnsi="宋体" w:hint="eastAsia"/>
          <w:sz w:val="24"/>
        </w:rPr>
        <w:t>上进上</w:t>
      </w:r>
      <w:proofErr w:type="gramEnd"/>
      <w:r w:rsidRPr="0045498A">
        <w:rPr>
          <w:rFonts w:ascii="宋体" w:hAnsi="宋体" w:hint="eastAsia"/>
          <w:sz w:val="24"/>
        </w:rPr>
        <w:t>出线方式，便于线缆的管理和空气的流通。</w:t>
      </w:r>
    </w:p>
    <w:p w14:paraId="0DF91BE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机柜后部最顶部一个U孔处需要安装1条接地铜条，铜</w:t>
      </w:r>
      <w:proofErr w:type="gramStart"/>
      <w:r w:rsidRPr="0045498A">
        <w:rPr>
          <w:rFonts w:ascii="宋体" w:hAnsi="宋体" w:hint="eastAsia"/>
          <w:sz w:val="24"/>
        </w:rPr>
        <w:t>条需要</w:t>
      </w:r>
      <w:proofErr w:type="gramEnd"/>
      <w:r w:rsidRPr="0045498A">
        <w:rPr>
          <w:rFonts w:ascii="宋体" w:hAnsi="宋体" w:hint="eastAsia"/>
          <w:sz w:val="24"/>
        </w:rPr>
        <w:t>设置20个接线孔（满足16平方毫米线缆接线大小），接地铜</w:t>
      </w:r>
      <w:proofErr w:type="gramStart"/>
      <w:r w:rsidRPr="0045498A">
        <w:rPr>
          <w:rFonts w:ascii="宋体" w:hAnsi="宋体" w:hint="eastAsia"/>
          <w:sz w:val="24"/>
        </w:rPr>
        <w:t>条需要</w:t>
      </w:r>
      <w:proofErr w:type="gramEnd"/>
      <w:r w:rsidRPr="0045498A">
        <w:rPr>
          <w:rFonts w:ascii="宋体" w:hAnsi="宋体" w:hint="eastAsia"/>
          <w:sz w:val="24"/>
        </w:rPr>
        <w:t>与接地干线可靠连接。</w:t>
      </w:r>
    </w:p>
    <w:p w14:paraId="28AF7675" w14:textId="77777777" w:rsidR="00616558" w:rsidRPr="0045498A" w:rsidRDefault="00000000" w:rsidP="00FC4798">
      <w:pPr>
        <w:pStyle w:val="3"/>
        <w:spacing w:before="0" w:after="0" w:line="360" w:lineRule="auto"/>
        <w:ind w:left="142" w:hanging="142"/>
        <w:rPr>
          <w:rFonts w:ascii="宋体" w:hAnsi="宋体"/>
          <w:b/>
          <w:bCs w:val="0"/>
          <w:sz w:val="24"/>
          <w:szCs w:val="24"/>
        </w:rPr>
      </w:pPr>
      <w:r w:rsidRPr="0045498A">
        <w:rPr>
          <w:rFonts w:ascii="宋体" w:hAnsi="宋体" w:cs="宋体" w:hint="eastAsia"/>
          <w:b/>
          <w:bCs w:val="0"/>
          <w:sz w:val="24"/>
          <w:szCs w:val="24"/>
        </w:rPr>
        <w:t>弱电专业</w:t>
      </w:r>
    </w:p>
    <w:p w14:paraId="6E6039AC"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t>总体要求</w:t>
      </w:r>
    </w:p>
    <w:p w14:paraId="7C916D2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本期工程范围包括</w:t>
      </w:r>
      <w:r w:rsidRPr="0045498A">
        <w:rPr>
          <w:rFonts w:ascii="宋体" w:hAnsi="宋体"/>
          <w:sz w:val="24"/>
        </w:rPr>
        <w:t>1</w:t>
      </w:r>
      <w:r w:rsidRPr="0045498A">
        <w:rPr>
          <w:rFonts w:ascii="宋体" w:hAnsi="宋体" w:hint="eastAsia"/>
          <w:sz w:val="24"/>
        </w:rPr>
        <w:t>栋通信机楼（A2通信机楼），1栋C1动力中心，1栋B1运</w:t>
      </w:r>
      <w:proofErr w:type="gramStart"/>
      <w:r w:rsidRPr="0045498A">
        <w:rPr>
          <w:rFonts w:ascii="宋体" w:hAnsi="宋体" w:hint="eastAsia"/>
          <w:sz w:val="24"/>
        </w:rPr>
        <w:t>维保障</w:t>
      </w:r>
      <w:proofErr w:type="gramEnd"/>
      <w:r w:rsidRPr="0045498A">
        <w:rPr>
          <w:rFonts w:ascii="宋体" w:hAnsi="宋体" w:hint="eastAsia"/>
          <w:sz w:val="24"/>
        </w:rPr>
        <w:t>中心以及室外工程的智能化弱电系统工程的管道预埋</w:t>
      </w:r>
      <w:r w:rsidRPr="0045498A">
        <w:rPr>
          <w:rFonts w:hint="eastAsia"/>
          <w:sz w:val="24"/>
        </w:rPr>
        <w:t>，以下要求仅用于指引工艺平面规划以及管道容量预留</w:t>
      </w:r>
      <w:r w:rsidRPr="0045498A">
        <w:rPr>
          <w:rFonts w:ascii="宋体" w:hAnsi="宋体" w:hint="eastAsia"/>
          <w:sz w:val="24"/>
        </w:rPr>
        <w:t>。涉及的系统包括：</w:t>
      </w:r>
    </w:p>
    <w:p w14:paraId="33563B3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安防智能化系统（</w:t>
      </w:r>
      <w:proofErr w:type="gramStart"/>
      <w:r w:rsidRPr="0045498A">
        <w:rPr>
          <w:rFonts w:ascii="宋体" w:hAnsi="宋体" w:hint="eastAsia"/>
          <w:sz w:val="24"/>
        </w:rPr>
        <w:t>物管安防</w:t>
      </w:r>
      <w:proofErr w:type="gramEnd"/>
      <w:r w:rsidRPr="0045498A">
        <w:rPr>
          <w:rFonts w:ascii="宋体" w:hAnsi="宋体" w:hint="eastAsia"/>
          <w:sz w:val="24"/>
        </w:rPr>
        <w:t xml:space="preserve">系统）：入侵报警系统、视频监控系统（公共区域）、出入口控制（门禁，公共区域）系统、道闸系统、停车场管理系统； </w:t>
      </w:r>
    </w:p>
    <w:p w14:paraId="0E2AA88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基础设施系统包括：通信基础网络系统。</w:t>
      </w:r>
    </w:p>
    <w:p w14:paraId="15907DC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室外智能化工程：智能专业室外弱电管井及管道。</w:t>
      </w:r>
    </w:p>
    <w:p w14:paraId="6335948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各系统按照《中国电信数据中心（园区）建筑智慧弱电管理平台标准规范》的要求具备未来开放协议接口的条件，用于后期接入（园区）建筑智慧弱电管理平台。</w:t>
      </w:r>
    </w:p>
    <w:p w14:paraId="1990E8F3"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t>通信基础网络系统（承载网络）</w:t>
      </w:r>
    </w:p>
    <w:p w14:paraId="6745723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通信基础网络系统包含智能监控网络和办公综合布线网络。智能监控网络负责其他（机房监控类智能化）系统的综合布线，办公综合布线网络负责办公部分综合布线，机房内综合布线详见(通信)工艺专业部分。</w:t>
      </w:r>
    </w:p>
    <w:p w14:paraId="6E3A99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智能监控网络对内承载整个园区的智能管理业务，为项目内物业管理及其它的智能化系统提供高速、稳定、安全的数据交换平台。是园区智能监控通信核心网络及管理平台。系统的配置具备高带宽、高可靠性、易管理、安全性。</w:t>
      </w:r>
    </w:p>
    <w:p w14:paraId="591898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利用VLAN技术，智能监控网络能承载并不限于以下应用：视频监控管理（VALN）、出入口管理及报警系统管理（VALN）、楼宇设备管理系统（VALN）、能源管理（VALN）、智能照明控制（VALN）。</w:t>
      </w:r>
    </w:p>
    <w:p w14:paraId="1F96021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智能监控网络采用星形</w:t>
      </w:r>
      <w:proofErr w:type="gramStart"/>
      <w:r w:rsidRPr="0045498A">
        <w:rPr>
          <w:rFonts w:ascii="宋体" w:hAnsi="宋体" w:hint="eastAsia"/>
          <w:sz w:val="24"/>
        </w:rPr>
        <w:t>拓朴</w:t>
      </w:r>
      <w:proofErr w:type="gramEnd"/>
      <w:r w:rsidRPr="0045498A">
        <w:rPr>
          <w:rFonts w:ascii="宋体" w:hAnsi="宋体" w:hint="eastAsia"/>
          <w:sz w:val="24"/>
        </w:rPr>
        <w:t>结构，为二级网络形式。设置2台核心交换机互为</w:t>
      </w:r>
      <w:proofErr w:type="gramStart"/>
      <w:r w:rsidRPr="0045498A">
        <w:rPr>
          <w:rFonts w:ascii="宋体" w:hAnsi="宋体" w:hint="eastAsia"/>
          <w:sz w:val="24"/>
        </w:rPr>
        <w:t>冗余热备的万兆双核全光纤</w:t>
      </w:r>
      <w:proofErr w:type="gramEnd"/>
      <w:r w:rsidRPr="0045498A">
        <w:rPr>
          <w:rFonts w:ascii="宋体" w:hAnsi="宋体" w:hint="eastAsia"/>
          <w:sz w:val="24"/>
        </w:rPr>
        <w:t>交换机，万兆上联，千兆接入，交换机间通过2条万兆光纤链路进行捆绑，交换机间通过2条万兆光纤链路配置集群，从逻辑上组合成一台交换机，维护人员</w:t>
      </w:r>
      <w:r w:rsidRPr="0045498A">
        <w:rPr>
          <w:rFonts w:ascii="宋体" w:hAnsi="宋体" w:hint="eastAsia"/>
          <w:sz w:val="24"/>
        </w:rPr>
        <w:lastRenderedPageBreak/>
        <w:t>可对虚拟化系统进行统一配置和管理，实现两台核心的高性能及部件的冗余性。支持基于IP地址及MAC地址的VLAN管理。核心层配置安全网络管理，能与网络防火墙互相联动，监控整个网络的所有用户；支持网络管理员进行远程监控管理及远程控制；支持对问题用户的物理位置快速定位，自动隔离等功能。</w:t>
      </w:r>
    </w:p>
    <w:p w14:paraId="58DB8F6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办公综合布线网络采用星型拓扑结构，万兆/千兆以太网技术，光纤与铜缆混合组网，用于传输语音、数据和监控等信号。办公</w:t>
      </w:r>
      <w:proofErr w:type="gramStart"/>
      <w:r w:rsidRPr="0045498A">
        <w:rPr>
          <w:rFonts w:ascii="宋体" w:hAnsi="宋体" w:hint="eastAsia"/>
          <w:sz w:val="24"/>
        </w:rPr>
        <w:t>网核心</w:t>
      </w:r>
      <w:proofErr w:type="gramEnd"/>
      <w:r w:rsidRPr="0045498A">
        <w:rPr>
          <w:rFonts w:ascii="宋体" w:hAnsi="宋体" w:hint="eastAsia"/>
          <w:sz w:val="24"/>
        </w:rPr>
        <w:t>采用单核心架构，通过万兆链路连接至各井道内接入交换机，核心交换机侧配置安全防火墙、路由器等设备，与总部互联。考虑到无线网络等的应用，部分接入层交换机应支持 Poe 端口供电功能。</w:t>
      </w:r>
    </w:p>
    <w:p w14:paraId="7A18B109" w14:textId="77777777" w:rsidR="00616558" w:rsidRPr="0045498A" w:rsidRDefault="00000000" w:rsidP="00FC4798">
      <w:pPr>
        <w:pStyle w:val="4"/>
        <w:snapToGrid w:val="0"/>
        <w:spacing w:before="0" w:after="0" w:line="360" w:lineRule="auto"/>
        <w:ind w:left="0" w:firstLineChars="200" w:firstLine="480"/>
        <w:rPr>
          <w:rFonts w:ascii="宋体" w:hAnsi="宋体"/>
          <w:sz w:val="24"/>
          <w:szCs w:val="24"/>
        </w:rPr>
      </w:pPr>
      <w:r w:rsidRPr="0045498A">
        <w:rPr>
          <w:rFonts w:ascii="宋体" w:hAnsi="宋体" w:hint="eastAsia"/>
          <w:sz w:val="24"/>
          <w:szCs w:val="24"/>
        </w:rPr>
        <w:t>室外智能化工程</w:t>
      </w:r>
    </w:p>
    <w:p w14:paraId="204CB1F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智能化室外管道采用</w:t>
      </w:r>
      <w:r w:rsidRPr="0045498A">
        <w:rPr>
          <w:rFonts w:ascii="宋体" w:hAnsi="宋体" w:hint="eastAsia"/>
          <w:sz w:val="24"/>
        </w:rPr>
        <w:t>PVC</w:t>
      </w:r>
      <w:r w:rsidRPr="0045498A">
        <w:rPr>
          <w:rFonts w:ascii="宋体" w:hAnsi="宋体"/>
          <w:sz w:val="24"/>
        </w:rPr>
        <w:t>管，分别在园区周边、次干道、主干道敷设弱电管道，汇聚至园区智能化控制中心。室外弱电设备采用镀锌钢管的方式实现设备与管井</w:t>
      </w:r>
      <w:r w:rsidRPr="0045498A">
        <w:rPr>
          <w:rFonts w:ascii="宋体" w:hAnsi="宋体" w:hint="eastAsia"/>
          <w:sz w:val="24"/>
        </w:rPr>
        <w:t>、建筑外墙</w:t>
      </w:r>
      <w:r w:rsidRPr="0045498A">
        <w:rPr>
          <w:rFonts w:ascii="宋体" w:hAnsi="宋体"/>
          <w:sz w:val="24"/>
        </w:rPr>
        <w:t>的连接。</w:t>
      </w:r>
    </w:p>
    <w:p w14:paraId="39530DD8"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t>安防智能化系统（</w:t>
      </w:r>
      <w:proofErr w:type="gramStart"/>
      <w:r w:rsidRPr="0045498A">
        <w:rPr>
          <w:rFonts w:ascii="宋体" w:hAnsi="宋体" w:hint="eastAsia"/>
          <w:sz w:val="24"/>
          <w:szCs w:val="24"/>
        </w:rPr>
        <w:t>物管安防</w:t>
      </w:r>
      <w:proofErr w:type="gramEnd"/>
      <w:r w:rsidRPr="0045498A">
        <w:rPr>
          <w:rFonts w:ascii="宋体" w:hAnsi="宋体" w:hint="eastAsia"/>
          <w:sz w:val="24"/>
          <w:szCs w:val="24"/>
        </w:rPr>
        <w:t>系统）</w:t>
      </w:r>
    </w:p>
    <w:p w14:paraId="4246E026"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视频监控系统</w:t>
      </w:r>
      <w:r w:rsidRPr="0045498A">
        <w:rPr>
          <w:rFonts w:ascii="宋体" w:hAnsi="宋体" w:hint="eastAsia"/>
          <w:sz w:val="24"/>
          <w:szCs w:val="24"/>
        </w:rPr>
        <w:t xml:space="preserve"> </w:t>
      </w:r>
    </w:p>
    <w:p w14:paraId="3411F2F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视频监控系统采用全高清网络监控系统，通过前端点位的统一部署，形成周界、道路、楼栋、室内重要区域的立体监控体系，实时告警，门禁等多系统联动实现快速响应，确保园区的安全。系统可具备未来开放的协议接口的条件，以在未来实现与智慧园区管理平台的对接。</w:t>
      </w:r>
    </w:p>
    <w:p w14:paraId="2FA39DF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本工程在</w:t>
      </w:r>
      <w:proofErr w:type="gramStart"/>
      <w:r w:rsidRPr="0045498A">
        <w:rPr>
          <w:rFonts w:ascii="宋体" w:hAnsi="宋体" w:hint="eastAsia"/>
          <w:sz w:val="24"/>
        </w:rPr>
        <w:t>园区主</w:t>
      </w:r>
      <w:proofErr w:type="gramEnd"/>
      <w:r w:rsidRPr="0045498A">
        <w:rPr>
          <w:rFonts w:ascii="宋体" w:hAnsi="宋体" w:hint="eastAsia"/>
          <w:sz w:val="24"/>
        </w:rPr>
        <w:t>入口、次入口、主要通道，通信机楼各出入口、电梯轿箱及各层走廊、</w:t>
      </w:r>
      <w:proofErr w:type="gramStart"/>
      <w:r w:rsidRPr="0045498A">
        <w:rPr>
          <w:rFonts w:ascii="宋体" w:hAnsi="宋体" w:hint="eastAsia"/>
          <w:sz w:val="24"/>
        </w:rPr>
        <w:t>拟启动配电房处</w:t>
      </w:r>
      <w:proofErr w:type="gramEnd"/>
      <w:r w:rsidRPr="0045498A">
        <w:rPr>
          <w:rFonts w:ascii="宋体" w:hAnsi="宋体" w:hint="eastAsia"/>
          <w:sz w:val="24"/>
        </w:rPr>
        <w:t>设置视频监控系统摄像机。走廊内安装吸顶摄像机，电梯内安装针孔式吊顶内摄像机，配电房内安装枪式摄像机。所有摄像机电源均由UPS电源供给。要求每一摄像机24小时视频监控，视频资料保存期限不少于90天（非移动侦测，H.265格式存储）。</w:t>
      </w:r>
    </w:p>
    <w:p w14:paraId="32EEEBB6"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hint="eastAsia"/>
          <w:sz w:val="24"/>
        </w:rPr>
        <w:t>拟启动</w:t>
      </w:r>
      <w:proofErr w:type="gramEnd"/>
      <w:r w:rsidRPr="0045498A">
        <w:rPr>
          <w:rFonts w:ascii="宋体" w:hAnsi="宋体" w:hint="eastAsia"/>
          <w:sz w:val="24"/>
        </w:rPr>
        <w:t>配电机房所有进出口处、内部关键的基础设施的操作处设有摄像机，所有图像回传到监控值班室，进行实时监控。</w:t>
      </w:r>
    </w:p>
    <w:p w14:paraId="12D571B2"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出入控制系统</w:t>
      </w:r>
      <w:r w:rsidRPr="0045498A">
        <w:rPr>
          <w:rFonts w:ascii="宋体" w:hAnsi="宋体" w:hint="eastAsia"/>
          <w:sz w:val="24"/>
          <w:szCs w:val="24"/>
        </w:rPr>
        <w:t xml:space="preserve"> </w:t>
      </w:r>
    </w:p>
    <w:p w14:paraId="2177859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出入口控制系统采用实时联网控制的智能网络门禁控制系统。出入口控制系统主要由系统主机及管理软件、门禁控制器、感应式IC读卡器，门磁、</w:t>
      </w:r>
      <w:proofErr w:type="gramStart"/>
      <w:r w:rsidRPr="0045498A">
        <w:rPr>
          <w:rFonts w:ascii="宋体" w:hAnsi="宋体" w:hint="eastAsia"/>
          <w:sz w:val="24"/>
        </w:rPr>
        <w:t>电锁及</w:t>
      </w:r>
      <w:proofErr w:type="gramEnd"/>
      <w:r w:rsidRPr="0045498A">
        <w:rPr>
          <w:rFonts w:ascii="宋体" w:hAnsi="宋体" w:hint="eastAsia"/>
          <w:sz w:val="24"/>
        </w:rPr>
        <w:t>出门读卡器、出门按钮等门禁设备组成。系统可实行分级管理、电脑联网控制。系统可具备未来开放的协议接口的条件，以在未来实现与智慧园区管理平台的对接。</w:t>
      </w:r>
    </w:p>
    <w:p w14:paraId="014BE59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出入口控制系统通过在各防护区域的通道门、配电房、值班室、电力电池室等相应区</w:t>
      </w:r>
      <w:r w:rsidRPr="0045498A">
        <w:rPr>
          <w:rFonts w:ascii="宋体" w:hAnsi="宋体" w:hint="eastAsia"/>
          <w:sz w:val="24"/>
        </w:rPr>
        <w:lastRenderedPageBreak/>
        <w:t>域的出入口设置门禁点。通过刷卡识别持卡人身份和使用权限，对通行位置、通过对象、通过时间进行有效的记录，控制和管理，从而保证上述重要防护区域的设备、财产和资料安全。针对不同的对象分级设防。</w:t>
      </w:r>
    </w:p>
    <w:p w14:paraId="57B3AA7F"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hint="eastAsia"/>
          <w:sz w:val="24"/>
        </w:rPr>
        <w:t>物管安防</w:t>
      </w:r>
      <w:proofErr w:type="gramEnd"/>
      <w:r w:rsidRPr="0045498A">
        <w:rPr>
          <w:rFonts w:ascii="宋体" w:hAnsi="宋体" w:hint="eastAsia"/>
          <w:sz w:val="24"/>
        </w:rPr>
        <w:t>的出入口控制系统的区域主要包括建筑物内公共区域的门禁。</w:t>
      </w:r>
    </w:p>
    <w:p w14:paraId="22A09F69"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入侵报警系统</w:t>
      </w:r>
    </w:p>
    <w:p w14:paraId="071032D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入侵报警系统通过运用入侵报警探测器来判断是否有人非法入侵。一旦发生报警，系统将发出报警信号，自动显示出报警的区域，并记录报警发生的时间、地点；在发生报警的同时可向视频监控系统发出信号，视频监控系统可根据所发生报警的部位自动调用相关的摄像机图像，并自动录下现场情况。系统可具备未来开放的协议接口的条件，以在未来实现与智慧园区管理平台的对接。</w:t>
      </w:r>
    </w:p>
    <w:p w14:paraId="137B6F0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系统机房设置在监控中心，配置报警主机，报警主机与安防设备网络连接，实现报警与监控、门禁等联动。</w:t>
      </w:r>
    </w:p>
    <w:p w14:paraId="015FEC6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入侵报警系统主要设置为大厅前台、主要通道、监控中心等处，采用</w:t>
      </w:r>
      <w:proofErr w:type="gramStart"/>
      <w:r w:rsidRPr="0045498A">
        <w:rPr>
          <w:rFonts w:ascii="宋体" w:hAnsi="宋体" w:hint="eastAsia"/>
          <w:sz w:val="24"/>
        </w:rPr>
        <w:t>双外双鉴</w:t>
      </w:r>
      <w:proofErr w:type="gramEnd"/>
      <w:r w:rsidRPr="0045498A">
        <w:rPr>
          <w:rFonts w:ascii="宋体" w:hAnsi="宋体" w:hint="eastAsia"/>
          <w:sz w:val="24"/>
        </w:rPr>
        <w:t>探测器以及手动报警按钮。</w:t>
      </w:r>
    </w:p>
    <w:p w14:paraId="57FC6150"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道闸系统</w:t>
      </w:r>
    </w:p>
    <w:p w14:paraId="082E219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本次道</w:t>
      </w:r>
      <w:proofErr w:type="gramStart"/>
      <w:r w:rsidRPr="0045498A">
        <w:rPr>
          <w:rFonts w:ascii="宋体" w:hAnsi="宋体" w:hint="eastAsia"/>
          <w:sz w:val="24"/>
        </w:rPr>
        <w:t>闸系统</w:t>
      </w:r>
      <w:proofErr w:type="gramEnd"/>
      <w:r w:rsidRPr="0045498A">
        <w:rPr>
          <w:rFonts w:ascii="宋体" w:hAnsi="宋体" w:hint="eastAsia"/>
          <w:sz w:val="24"/>
        </w:rPr>
        <w:t>采用人脸</w:t>
      </w:r>
      <w:proofErr w:type="gramStart"/>
      <w:r w:rsidRPr="0045498A">
        <w:rPr>
          <w:rFonts w:ascii="宋体" w:hAnsi="宋体" w:hint="eastAsia"/>
          <w:sz w:val="24"/>
        </w:rPr>
        <w:t>识别道</w:t>
      </w:r>
      <w:proofErr w:type="gramEnd"/>
      <w:r w:rsidRPr="0045498A">
        <w:rPr>
          <w:rFonts w:ascii="宋体" w:hAnsi="宋体" w:hint="eastAsia"/>
          <w:sz w:val="24"/>
        </w:rPr>
        <w:t>闸管理系统，以人性化为设计理念，在准确解决对进出员工身份验证的基础上，员工可无障碍自由出入，最大化地提高了进出的通行速度及效率，同时也能与访客管理系统做联动，实现外来人员临时进出的管理。</w:t>
      </w:r>
    </w:p>
    <w:p w14:paraId="6CCC6A6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来访人员通过访客管理系统拍摄人像后，作为速通门人脸识别的凭证，通过人脸识别闸机进入被访区域，每个机房楼、机房区域可设置单独的被访权限。</w:t>
      </w:r>
    </w:p>
    <w:p w14:paraId="791A3672" w14:textId="77777777" w:rsidR="00616558" w:rsidRPr="0045498A" w:rsidRDefault="00000000">
      <w:pPr>
        <w:pStyle w:val="5"/>
        <w:spacing w:before="0" w:after="0" w:line="360" w:lineRule="auto"/>
        <w:rPr>
          <w:rFonts w:ascii="宋体" w:hAnsi="宋体"/>
          <w:sz w:val="24"/>
          <w:szCs w:val="24"/>
        </w:rPr>
      </w:pPr>
      <w:r w:rsidRPr="0045498A">
        <w:rPr>
          <w:rFonts w:ascii="宋体" w:hAnsi="宋体" w:cs="宋体" w:hint="eastAsia"/>
          <w:sz w:val="24"/>
          <w:szCs w:val="24"/>
        </w:rPr>
        <w:t>停车场管理系统</w:t>
      </w:r>
    </w:p>
    <w:p w14:paraId="7DA7B59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停车场管理系统根据园区管理的业务实际需求，运用针对性的技防手段，对车辆出入口管控外来车辆进行有效管理，实现停车场运行的高效化、节能化、环保化。主要功能包括车牌识别、车辆信息记录、信息提示、图片预览、车牌校正、报警管理、数据查询、权限设置和用户管理等功能。</w:t>
      </w:r>
    </w:p>
    <w:p w14:paraId="25ED42C9"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消防专业</w:t>
      </w:r>
    </w:p>
    <w:p w14:paraId="1A27DB09"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总体要求</w:t>
      </w:r>
    </w:p>
    <w:p w14:paraId="060A9CB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总平面</w:t>
      </w:r>
      <w:proofErr w:type="gramStart"/>
      <w:r w:rsidRPr="0045498A">
        <w:rPr>
          <w:rFonts w:ascii="宋体" w:hAnsi="宋体" w:hint="eastAsia"/>
          <w:sz w:val="24"/>
        </w:rPr>
        <w:t>布局消防</w:t>
      </w:r>
      <w:proofErr w:type="gramEnd"/>
      <w:r w:rsidRPr="0045498A">
        <w:rPr>
          <w:rFonts w:ascii="宋体" w:hAnsi="宋体" w:hint="eastAsia"/>
          <w:sz w:val="24"/>
        </w:rPr>
        <w:t>车道布置，拟建建筑之间的防火间距，均符合规范的有关要求。各建筑物防火间距和耐火等级符合规范要求。各专业消防设施齐全，符合规范要求。</w:t>
      </w:r>
    </w:p>
    <w:p w14:paraId="602B1E60"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lastRenderedPageBreak/>
        <w:t>设计要点</w:t>
      </w:r>
    </w:p>
    <w:p w14:paraId="7139396A"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（1）建筑消防安全布局</w:t>
      </w:r>
    </w:p>
    <w:p w14:paraId="3B5C90F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A2通信机楼及C1动力中心属多层丙类厂房，按照国家标准合理划分区域，规划防火间距、消防车道、合理规划防火分区、安全疏散以及防火救援设施。</w:t>
      </w:r>
    </w:p>
    <w:p w14:paraId="69323E8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B1运</w:t>
      </w:r>
      <w:proofErr w:type="gramStart"/>
      <w:r w:rsidRPr="0045498A">
        <w:rPr>
          <w:rFonts w:ascii="宋体" w:hAnsi="宋体" w:hint="eastAsia"/>
          <w:sz w:val="24"/>
        </w:rPr>
        <w:t>维保障</w:t>
      </w:r>
      <w:proofErr w:type="gramEnd"/>
      <w:r w:rsidRPr="0045498A">
        <w:rPr>
          <w:rFonts w:ascii="宋体" w:hAnsi="宋体" w:hint="eastAsia"/>
          <w:sz w:val="24"/>
        </w:rPr>
        <w:t>中心属于多层民用建筑，按照国家标准合理划分区域，规划防火间距、消防车道、合理规划防火分区、安全疏散以及防火救援设施。</w:t>
      </w:r>
    </w:p>
    <w:p w14:paraId="4794AE7C"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（2）建筑消防设施</w:t>
      </w:r>
    </w:p>
    <w:p w14:paraId="2DF699C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1）室内外消防给水系统</w:t>
      </w:r>
    </w:p>
    <w:p w14:paraId="6876FD4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室内、外消火栓给水系统采用临时高压制系统，按园区同时一起火灾进行设计。消防设计应符合GB50974-2014、GB50174-2017、GB50016-2014（2018年版）的要求。</w:t>
      </w:r>
    </w:p>
    <w:p w14:paraId="37DF624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消防水源为城镇自来水，经水表计量后引至消防水池。</w:t>
      </w:r>
    </w:p>
    <w:p w14:paraId="0FCA6E0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A2通信机楼及C1</w:t>
      </w:r>
      <w:r w:rsidRPr="0045498A">
        <w:rPr>
          <w:rFonts w:ascii="宋体" w:hAnsi="宋体"/>
          <w:sz w:val="24"/>
        </w:rPr>
        <w:t>动力中心均属于</w:t>
      </w:r>
      <w:r w:rsidRPr="0045498A">
        <w:rPr>
          <w:rFonts w:ascii="宋体" w:hAnsi="宋体" w:hint="eastAsia"/>
          <w:sz w:val="24"/>
        </w:rPr>
        <w:t>多层</w:t>
      </w:r>
      <w:r w:rsidRPr="0045498A">
        <w:rPr>
          <w:rFonts w:ascii="宋体" w:hAnsi="宋体"/>
          <w:sz w:val="24"/>
        </w:rPr>
        <w:t>丙类厂房，</w:t>
      </w:r>
      <w:r w:rsidRPr="0045498A">
        <w:rPr>
          <w:rFonts w:ascii="宋体" w:hAnsi="宋体" w:hint="eastAsia"/>
          <w:sz w:val="24"/>
        </w:rPr>
        <w:t>B1运</w:t>
      </w:r>
      <w:proofErr w:type="gramStart"/>
      <w:r w:rsidRPr="0045498A">
        <w:rPr>
          <w:rFonts w:ascii="宋体" w:hAnsi="宋体" w:hint="eastAsia"/>
          <w:sz w:val="24"/>
        </w:rPr>
        <w:t>维保障</w:t>
      </w:r>
      <w:proofErr w:type="gramEnd"/>
      <w:r w:rsidRPr="0045498A">
        <w:rPr>
          <w:rFonts w:ascii="宋体" w:hAnsi="宋体" w:hint="eastAsia"/>
          <w:sz w:val="24"/>
        </w:rPr>
        <w:t>中心</w:t>
      </w:r>
      <w:r w:rsidRPr="0045498A">
        <w:rPr>
          <w:rFonts w:ascii="宋体" w:hAnsi="宋体"/>
          <w:sz w:val="24"/>
        </w:rPr>
        <w:t>属于</w:t>
      </w:r>
      <w:r w:rsidRPr="0045498A">
        <w:rPr>
          <w:rFonts w:ascii="宋体" w:hAnsi="宋体" w:hint="eastAsia"/>
          <w:sz w:val="24"/>
        </w:rPr>
        <w:t>多层民用建筑，按此计算用水量和消防水池，消防水池有效容积不小于756m3。</w:t>
      </w:r>
    </w:p>
    <w:p w14:paraId="63EBBE6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室外消火栓</w:t>
      </w:r>
      <w:r w:rsidRPr="0045498A">
        <w:rPr>
          <w:rFonts w:ascii="宋体" w:hAnsi="宋体" w:hint="eastAsia"/>
          <w:sz w:val="24"/>
        </w:rPr>
        <w:t>系统由C1动力</w:t>
      </w:r>
      <w:proofErr w:type="gramStart"/>
      <w:r w:rsidRPr="0045498A">
        <w:rPr>
          <w:rFonts w:ascii="宋体" w:hAnsi="宋体" w:hint="eastAsia"/>
          <w:sz w:val="24"/>
        </w:rPr>
        <w:t>中心</w:t>
      </w:r>
      <w:r w:rsidRPr="0045498A">
        <w:rPr>
          <w:rFonts w:ascii="宋体" w:hAnsi="宋体"/>
          <w:sz w:val="24"/>
        </w:rPr>
        <w:t>消防</w:t>
      </w:r>
      <w:proofErr w:type="gramEnd"/>
      <w:r w:rsidRPr="0045498A">
        <w:rPr>
          <w:rFonts w:ascii="宋体" w:hAnsi="宋体"/>
          <w:sz w:val="24"/>
        </w:rPr>
        <w:t>水池及消防泵组加压供给，室外消火栓管网</w:t>
      </w:r>
      <w:r w:rsidRPr="0045498A">
        <w:rPr>
          <w:rFonts w:ascii="宋体" w:hAnsi="宋体" w:hint="eastAsia"/>
          <w:sz w:val="24"/>
        </w:rPr>
        <w:t>在</w:t>
      </w:r>
      <w:r w:rsidRPr="0045498A">
        <w:rPr>
          <w:rFonts w:ascii="宋体" w:hAnsi="宋体"/>
          <w:sz w:val="24"/>
        </w:rPr>
        <w:t>园区内成环状布置，环管上设室外消火栓。室外消火栓保护半径不应超过150m，室外消火栓的间距不应大于120m，距消防水泵接合器15m～40m。</w:t>
      </w:r>
      <w:r w:rsidRPr="0045498A">
        <w:rPr>
          <w:rFonts w:ascii="宋体" w:hAnsi="宋体" w:hint="eastAsia"/>
          <w:sz w:val="24"/>
        </w:rPr>
        <w:t>园区设消防车取水口。</w:t>
      </w:r>
    </w:p>
    <w:p w14:paraId="65F4A100"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hint="eastAsia"/>
          <w:sz w:val="24"/>
        </w:rPr>
        <w:t>高位消防</w:t>
      </w:r>
      <w:proofErr w:type="gramEnd"/>
      <w:r w:rsidRPr="0045498A">
        <w:rPr>
          <w:rFonts w:ascii="宋体" w:hAnsi="宋体" w:hint="eastAsia"/>
          <w:sz w:val="24"/>
        </w:rPr>
        <w:t>水箱、稳压泵及气压</w:t>
      </w:r>
      <w:proofErr w:type="gramStart"/>
      <w:r w:rsidRPr="0045498A">
        <w:rPr>
          <w:rFonts w:ascii="宋体" w:hAnsi="宋体" w:hint="eastAsia"/>
          <w:sz w:val="24"/>
        </w:rPr>
        <w:t>罐设置</w:t>
      </w:r>
      <w:proofErr w:type="gramEnd"/>
      <w:r w:rsidRPr="0045498A">
        <w:rPr>
          <w:rFonts w:ascii="宋体" w:hAnsi="宋体" w:hint="eastAsia"/>
          <w:sz w:val="24"/>
        </w:rPr>
        <w:t>在A2通信机楼屋面层。室外设置消防水泵接合器。本工程建筑室内消火栓环状管网的进水管不少于两条，当其中一条进水管发生故障时，另一条保证全部用水量。</w:t>
      </w:r>
    </w:p>
    <w:p w14:paraId="74D17B8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室内消火栓给水系统保证两股充实水柱同时到达同层室内任何部位，水枪充实水柱不小于13m，每支水枪流量不小于5.0L/s，消火栓保护半径为30m。</w:t>
      </w:r>
    </w:p>
    <w:p w14:paraId="237DC86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w:t>
      </w:r>
      <w:r w:rsidRPr="0045498A">
        <w:rPr>
          <w:rFonts w:ascii="宋体" w:hAnsi="宋体" w:hint="eastAsia"/>
          <w:sz w:val="24"/>
        </w:rPr>
        <w:t>）自动喷水灭火系统</w:t>
      </w:r>
    </w:p>
    <w:p w14:paraId="2B7E251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自动喷水灭火系统采用临时高压制系统，按园区同时一起火灾进行设计。消防设计应符合GB50084-2017、GB50174-2017、GB50016-2014（2018年版）的要求。</w:t>
      </w:r>
    </w:p>
    <w:p w14:paraId="2162692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通信</w:t>
      </w:r>
      <w:r w:rsidRPr="0045498A">
        <w:rPr>
          <w:rFonts w:ascii="宋体" w:hAnsi="宋体" w:hint="eastAsia"/>
          <w:sz w:val="24"/>
        </w:rPr>
        <w:t>机楼</w:t>
      </w:r>
      <w:r w:rsidRPr="0045498A">
        <w:rPr>
          <w:rFonts w:ascii="宋体" w:hAnsi="宋体"/>
          <w:sz w:val="24"/>
        </w:rPr>
        <w:t>及动力中心，除机房，电气用房外均设置自动喷水灭火系统保护。本项目B1运</w:t>
      </w:r>
      <w:proofErr w:type="gramStart"/>
      <w:r w:rsidRPr="0045498A">
        <w:rPr>
          <w:rFonts w:ascii="宋体" w:hAnsi="宋体"/>
          <w:sz w:val="24"/>
        </w:rPr>
        <w:t>维保障</w:t>
      </w:r>
      <w:proofErr w:type="gramEnd"/>
      <w:r w:rsidRPr="0045498A">
        <w:rPr>
          <w:rFonts w:ascii="宋体" w:hAnsi="宋体"/>
          <w:sz w:val="24"/>
        </w:rPr>
        <w:t>中心采用湿式自动喷水灭火系统</w:t>
      </w:r>
      <w:r w:rsidRPr="0045498A">
        <w:rPr>
          <w:rFonts w:ascii="宋体" w:hAnsi="宋体" w:hint="eastAsia"/>
          <w:sz w:val="24"/>
        </w:rPr>
        <w:t>；A2通信机楼及C1动力中心的</w:t>
      </w:r>
      <w:r w:rsidRPr="0045498A">
        <w:rPr>
          <w:rFonts w:ascii="宋体" w:hAnsi="宋体"/>
          <w:sz w:val="24"/>
        </w:rPr>
        <w:t>其他工作间、备品备件间、发电机房、走道采用</w:t>
      </w:r>
      <w:proofErr w:type="gramStart"/>
      <w:r w:rsidRPr="0045498A">
        <w:rPr>
          <w:rFonts w:ascii="宋体" w:hAnsi="宋体"/>
          <w:sz w:val="24"/>
        </w:rPr>
        <w:t>预作用</w:t>
      </w:r>
      <w:proofErr w:type="gramEnd"/>
      <w:r w:rsidRPr="0045498A">
        <w:rPr>
          <w:rFonts w:ascii="宋体" w:hAnsi="宋体"/>
          <w:sz w:val="24"/>
        </w:rPr>
        <w:t>自动喷水灭火系统。</w:t>
      </w:r>
    </w:p>
    <w:p w14:paraId="5768F008"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sz w:val="24"/>
        </w:rPr>
        <w:t>预作用</w:t>
      </w:r>
      <w:proofErr w:type="gramEnd"/>
      <w:r w:rsidRPr="0045498A">
        <w:rPr>
          <w:rFonts w:ascii="宋体" w:hAnsi="宋体"/>
          <w:sz w:val="24"/>
        </w:rPr>
        <w:t>系统采用</w:t>
      </w:r>
      <w:proofErr w:type="gramStart"/>
      <w:r w:rsidRPr="0045498A">
        <w:rPr>
          <w:rFonts w:ascii="宋体" w:hAnsi="宋体"/>
          <w:sz w:val="24"/>
        </w:rPr>
        <w:t>预作用</w:t>
      </w:r>
      <w:proofErr w:type="gramEnd"/>
      <w:r w:rsidRPr="0045498A">
        <w:rPr>
          <w:rFonts w:ascii="宋体" w:hAnsi="宋体"/>
          <w:sz w:val="24"/>
        </w:rPr>
        <w:t>报警阀组，并由配套使用火灾自动报警系统启动。处于戒备状态时，配水管道为不充水的空管，利用火灾探测器的热敏性能优于闭式喷头动作前转换为湿式系统。</w:t>
      </w:r>
    </w:p>
    <w:p w14:paraId="6FCD4E3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lastRenderedPageBreak/>
        <w:t>在通信机楼及动力中心</w:t>
      </w:r>
      <w:proofErr w:type="gramStart"/>
      <w:r w:rsidRPr="0045498A">
        <w:rPr>
          <w:rFonts w:ascii="宋体" w:hAnsi="宋体"/>
          <w:sz w:val="24"/>
        </w:rPr>
        <w:t>设预作用</w:t>
      </w:r>
      <w:proofErr w:type="gramEnd"/>
      <w:r w:rsidRPr="0045498A">
        <w:rPr>
          <w:rFonts w:ascii="宋体" w:hAnsi="宋体"/>
          <w:sz w:val="24"/>
        </w:rPr>
        <w:t>喷淋阀门间，设有预作用阀及其配套补气装置。</w:t>
      </w:r>
    </w:p>
    <w:p w14:paraId="323DFEE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为保证</w:t>
      </w:r>
      <w:proofErr w:type="gramStart"/>
      <w:r w:rsidRPr="0045498A">
        <w:rPr>
          <w:rFonts w:ascii="宋体" w:hAnsi="宋体"/>
          <w:sz w:val="24"/>
        </w:rPr>
        <w:t>预作用</w:t>
      </w:r>
      <w:proofErr w:type="gramEnd"/>
      <w:r w:rsidRPr="0045498A">
        <w:rPr>
          <w:rFonts w:ascii="宋体" w:hAnsi="宋体"/>
          <w:sz w:val="24"/>
        </w:rPr>
        <w:t>系统的稳定性、可靠性，预作用阀及其补气装置、控制屏等设备应由同一厂家配套提供。</w:t>
      </w:r>
    </w:p>
    <w:p w14:paraId="0F69A27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按中危险I级设计，喷水强度为6L/min•m²，作用面积为160 m²；系统流量按30L/s进行设计。</w:t>
      </w:r>
    </w:p>
    <w:p w14:paraId="6289827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喷淋头：采用DN15直立型</w:t>
      </w:r>
      <w:r w:rsidRPr="0045498A">
        <w:rPr>
          <w:rFonts w:ascii="宋体" w:hAnsi="宋体" w:hint="eastAsia"/>
          <w:sz w:val="24"/>
        </w:rPr>
        <w:t>标准覆盖面积</w:t>
      </w:r>
      <w:r w:rsidRPr="0045498A">
        <w:rPr>
          <w:rFonts w:ascii="宋体" w:hAnsi="宋体"/>
          <w:sz w:val="24"/>
        </w:rPr>
        <w:t>玻璃球</w:t>
      </w:r>
      <w:r w:rsidRPr="0045498A">
        <w:rPr>
          <w:rFonts w:ascii="宋体" w:hAnsi="宋体" w:hint="eastAsia"/>
          <w:sz w:val="24"/>
        </w:rPr>
        <w:t>洒水喷头、</w:t>
      </w:r>
      <w:r w:rsidRPr="0045498A">
        <w:rPr>
          <w:rFonts w:ascii="宋体" w:hAnsi="宋体"/>
          <w:sz w:val="24"/>
        </w:rPr>
        <w:t>干式下垂型</w:t>
      </w:r>
      <w:r w:rsidRPr="0045498A">
        <w:rPr>
          <w:rFonts w:ascii="宋体" w:hAnsi="宋体" w:hint="eastAsia"/>
          <w:sz w:val="24"/>
        </w:rPr>
        <w:t>标准覆盖面积</w:t>
      </w:r>
      <w:r w:rsidRPr="0045498A">
        <w:rPr>
          <w:rFonts w:ascii="宋体" w:hAnsi="宋体"/>
          <w:sz w:val="24"/>
        </w:rPr>
        <w:t>玻璃球</w:t>
      </w:r>
      <w:r w:rsidRPr="0045498A">
        <w:rPr>
          <w:rFonts w:ascii="宋体" w:hAnsi="宋体" w:hint="eastAsia"/>
          <w:sz w:val="24"/>
        </w:rPr>
        <w:t>洒水喷头（</w:t>
      </w:r>
      <w:proofErr w:type="gramStart"/>
      <w:r w:rsidRPr="0045498A">
        <w:rPr>
          <w:rFonts w:ascii="宋体" w:hAnsi="宋体" w:hint="eastAsia"/>
          <w:sz w:val="24"/>
        </w:rPr>
        <w:t>预作用</w:t>
      </w:r>
      <w:proofErr w:type="gramEnd"/>
      <w:r w:rsidRPr="0045498A">
        <w:rPr>
          <w:rFonts w:ascii="宋体" w:hAnsi="宋体" w:hint="eastAsia"/>
          <w:sz w:val="24"/>
        </w:rPr>
        <w:t>自喷系统使用）及</w:t>
      </w:r>
      <w:r w:rsidRPr="0045498A">
        <w:rPr>
          <w:rFonts w:ascii="宋体" w:hAnsi="宋体"/>
          <w:sz w:val="24"/>
        </w:rPr>
        <w:t>吊顶型</w:t>
      </w:r>
      <w:r w:rsidRPr="0045498A">
        <w:rPr>
          <w:rFonts w:ascii="宋体" w:hAnsi="宋体" w:hint="eastAsia"/>
          <w:sz w:val="24"/>
        </w:rPr>
        <w:t>（或下垂型）标准覆盖面积</w:t>
      </w:r>
      <w:r w:rsidRPr="0045498A">
        <w:rPr>
          <w:rFonts w:ascii="宋体" w:hAnsi="宋体"/>
          <w:sz w:val="24"/>
        </w:rPr>
        <w:t>玻璃球</w:t>
      </w:r>
      <w:r w:rsidRPr="0045498A">
        <w:rPr>
          <w:rFonts w:ascii="宋体" w:hAnsi="宋体" w:hint="eastAsia"/>
          <w:sz w:val="24"/>
        </w:rPr>
        <w:t>洒水喷头（湿式自喷系统使用）</w:t>
      </w:r>
      <w:r w:rsidRPr="0045498A">
        <w:rPr>
          <w:rFonts w:ascii="宋体" w:hAnsi="宋体"/>
          <w:sz w:val="24"/>
        </w:rPr>
        <w:t>，玻璃球</w:t>
      </w:r>
      <w:r w:rsidRPr="0045498A">
        <w:rPr>
          <w:rFonts w:ascii="宋体" w:hAnsi="宋体" w:hint="eastAsia"/>
          <w:sz w:val="24"/>
        </w:rPr>
        <w:t>洒水喷头</w:t>
      </w:r>
      <w:r w:rsidRPr="0045498A">
        <w:rPr>
          <w:rFonts w:ascii="宋体" w:hAnsi="宋体"/>
          <w:sz w:val="24"/>
        </w:rPr>
        <w:t>动作温度为68℃（吊顶内为79 ℃），发电机房内采用</w:t>
      </w:r>
      <w:r w:rsidRPr="0045498A">
        <w:rPr>
          <w:rFonts w:ascii="宋体" w:hAnsi="宋体" w:hint="eastAsia"/>
          <w:sz w:val="24"/>
        </w:rPr>
        <w:t>93</w:t>
      </w:r>
      <w:r w:rsidRPr="0045498A">
        <w:rPr>
          <w:rFonts w:ascii="宋体" w:hAnsi="宋体"/>
          <w:sz w:val="24"/>
        </w:rPr>
        <w:t>℃，K=80。</w:t>
      </w:r>
    </w:p>
    <w:p w14:paraId="505E2E7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自喷系统在建筑物室外设置消防水泵接合器，分别与报警阀前的环状管网相连接，距室外消火栓的距离为15～40m。</w:t>
      </w:r>
    </w:p>
    <w:p w14:paraId="482AAB3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w:t>
      </w:r>
      <w:r w:rsidRPr="0045498A">
        <w:rPr>
          <w:rFonts w:ascii="宋体" w:hAnsi="宋体" w:hint="eastAsia"/>
          <w:sz w:val="24"/>
        </w:rPr>
        <w:t>）气体灭火系统和建筑灭火器</w:t>
      </w:r>
    </w:p>
    <w:p w14:paraId="27F7E2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本项目数据机房、电气用房以及其他不适合采用水扑救的场所应设置气体灭火系统。应符合GB50370-2005、GB50174-2017、GB50016-2014（2018年版）的要求；灭火器的</w:t>
      </w:r>
      <w:proofErr w:type="gramStart"/>
      <w:r w:rsidRPr="0045498A">
        <w:rPr>
          <w:rFonts w:ascii="宋体" w:hAnsi="宋体" w:hint="eastAsia"/>
          <w:sz w:val="24"/>
        </w:rPr>
        <w:t>配置按</w:t>
      </w:r>
      <w:proofErr w:type="gramEnd"/>
      <w:r w:rsidRPr="0045498A">
        <w:rPr>
          <w:rFonts w:ascii="宋体" w:hAnsi="宋体" w:hint="eastAsia"/>
          <w:sz w:val="24"/>
        </w:rPr>
        <w:t>GB50140-2005的要求执行。</w:t>
      </w:r>
    </w:p>
    <w:p w14:paraId="6BAFC01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本项目采用外贮</w:t>
      </w:r>
      <w:proofErr w:type="gramStart"/>
      <w:r w:rsidRPr="0045498A">
        <w:rPr>
          <w:rFonts w:ascii="宋体" w:hAnsi="宋体" w:hint="eastAsia"/>
          <w:sz w:val="24"/>
        </w:rPr>
        <w:t>压七氟</w:t>
      </w:r>
      <w:proofErr w:type="gramEnd"/>
      <w:r w:rsidRPr="0045498A">
        <w:rPr>
          <w:rFonts w:ascii="宋体" w:hAnsi="宋体" w:hint="eastAsia"/>
          <w:sz w:val="24"/>
        </w:rPr>
        <w:t>丙烷灭火系统，每套气体灭火系统承担防护区不超8个。</w:t>
      </w:r>
    </w:p>
    <w:p w14:paraId="5068079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体积较小且分散的气体防护区采用</w:t>
      </w:r>
      <w:proofErr w:type="gramStart"/>
      <w:r w:rsidRPr="0045498A">
        <w:rPr>
          <w:rFonts w:ascii="宋体" w:hAnsi="宋体" w:hint="eastAsia"/>
          <w:sz w:val="24"/>
        </w:rPr>
        <w:t>柜式七氟丙烷</w:t>
      </w:r>
      <w:proofErr w:type="gramEnd"/>
      <w:r w:rsidRPr="0045498A">
        <w:rPr>
          <w:rFonts w:ascii="宋体" w:hAnsi="宋体" w:hint="eastAsia"/>
          <w:sz w:val="24"/>
        </w:rPr>
        <w:t>灭火装置。</w:t>
      </w:r>
    </w:p>
    <w:p w14:paraId="41F82DB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通信机房按严重危险</w:t>
      </w:r>
      <w:proofErr w:type="gramStart"/>
      <w:r w:rsidRPr="0045498A">
        <w:rPr>
          <w:rFonts w:ascii="宋体" w:hAnsi="宋体" w:hint="eastAsia"/>
          <w:sz w:val="24"/>
        </w:rPr>
        <w:t>级设置</w:t>
      </w:r>
      <w:proofErr w:type="gramEnd"/>
      <w:r w:rsidRPr="0045498A">
        <w:rPr>
          <w:rFonts w:ascii="宋体" w:hAnsi="宋体" w:hint="eastAsia"/>
          <w:sz w:val="24"/>
        </w:rPr>
        <w:t>推车式二氧化碳灭火器。电气用房按中危险</w:t>
      </w:r>
      <w:proofErr w:type="gramStart"/>
      <w:r w:rsidRPr="0045498A">
        <w:rPr>
          <w:rFonts w:ascii="宋体" w:hAnsi="宋体" w:hint="eastAsia"/>
          <w:sz w:val="24"/>
        </w:rPr>
        <w:t>级设置</w:t>
      </w:r>
      <w:proofErr w:type="gramEnd"/>
      <w:r w:rsidRPr="0045498A">
        <w:rPr>
          <w:rFonts w:ascii="宋体" w:hAnsi="宋体" w:hint="eastAsia"/>
          <w:sz w:val="24"/>
        </w:rPr>
        <w:t>推车式二氧化碳灭火器。其他部分按中危险级，各房间及室内消火栓箱内均设置手提式磷酸铵盐干粉灭火器（即ABC干粉灭火器）及过滤式消防自救呼吸器。</w:t>
      </w:r>
    </w:p>
    <w:p w14:paraId="68FE4A4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w:t>
      </w:r>
      <w:r w:rsidRPr="0045498A">
        <w:rPr>
          <w:rFonts w:ascii="宋体" w:hAnsi="宋体" w:hint="eastAsia"/>
          <w:sz w:val="24"/>
        </w:rPr>
        <w:t>）火灾自动报警系统</w:t>
      </w:r>
    </w:p>
    <w:p w14:paraId="7E74513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园区消防控制中心设置在B1运</w:t>
      </w:r>
      <w:proofErr w:type="gramStart"/>
      <w:r w:rsidRPr="0045498A">
        <w:rPr>
          <w:rFonts w:ascii="宋体" w:hAnsi="宋体" w:hint="eastAsia"/>
          <w:sz w:val="24"/>
        </w:rPr>
        <w:t>维保障中心消防</w:t>
      </w:r>
      <w:proofErr w:type="gramEnd"/>
      <w:r w:rsidRPr="0045498A">
        <w:rPr>
          <w:rFonts w:ascii="宋体" w:hAnsi="宋体" w:hint="eastAsia"/>
          <w:sz w:val="24"/>
        </w:rPr>
        <w:t>控制室，同时与公共区域安防系统合用监控室，负责B1运</w:t>
      </w:r>
      <w:proofErr w:type="gramStart"/>
      <w:r w:rsidRPr="0045498A">
        <w:rPr>
          <w:rFonts w:ascii="宋体" w:hAnsi="宋体" w:hint="eastAsia"/>
          <w:sz w:val="24"/>
        </w:rPr>
        <w:t>维保障</w:t>
      </w:r>
      <w:proofErr w:type="gramEnd"/>
      <w:r w:rsidRPr="0045498A">
        <w:rPr>
          <w:rFonts w:ascii="宋体" w:hAnsi="宋体" w:hint="eastAsia"/>
          <w:sz w:val="24"/>
        </w:rPr>
        <w:t>中心及园区建筑的消防自动报警、周界安防、公共区域安防监控等功能；园区其他每栋楼首层设置消防设备间。</w:t>
      </w:r>
    </w:p>
    <w:p w14:paraId="4F5DB45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园区消防控制中心与对应的消防设备间之间：消防设备间内火灾报警控制器的所有信息在园区消防控制中心/消防分控中心集中火灾报警控制器上均有显示，且能接收起集中控制功能的火灾报警控制器的联动控制信号，并自动启动相应的消防设备。</w:t>
      </w:r>
    </w:p>
    <w:p w14:paraId="58DCD23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消防控制室与安防监控室合用，系统配置远程通信接口</w:t>
      </w:r>
      <w:proofErr w:type="gramStart"/>
      <w:r w:rsidRPr="0045498A">
        <w:rPr>
          <w:rFonts w:ascii="宋体" w:hAnsi="宋体" w:hint="eastAsia"/>
          <w:sz w:val="24"/>
        </w:rPr>
        <w:t>用于省电信消防监控</w:t>
      </w:r>
      <w:proofErr w:type="gramEnd"/>
      <w:r w:rsidRPr="0045498A">
        <w:rPr>
          <w:rFonts w:ascii="宋体" w:hAnsi="宋体" w:hint="eastAsia"/>
          <w:sz w:val="24"/>
        </w:rPr>
        <w:t>。本工程火灾自动报警系统分为以下两部分：</w:t>
      </w:r>
    </w:p>
    <w:p w14:paraId="2A79429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第一部分：大楼走廊等公共区域及值班用房（非气体保护区）火灾自动报警系统，主</w:t>
      </w:r>
      <w:r w:rsidRPr="0045498A">
        <w:rPr>
          <w:rFonts w:ascii="宋体" w:hAnsi="宋体" w:hint="eastAsia"/>
          <w:sz w:val="24"/>
        </w:rPr>
        <w:lastRenderedPageBreak/>
        <w:t>要采用智能烟感探测器。</w:t>
      </w:r>
    </w:p>
    <w:p w14:paraId="08FBDCE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第二部分是数据机房、电力电池室、高低压配电室等机房为气体灭火保护区，采用分区独立的气体灭火控制系统进行监测及控制，采用智能烟、温感探测器。</w:t>
      </w:r>
    </w:p>
    <w:p w14:paraId="4155E85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系统形式采用控制中心报警系统，包括火灾自动报警及其联动控制系统、火灾应急广播系统、消防通信系统、火灾警报装置。</w:t>
      </w:r>
    </w:p>
    <w:p w14:paraId="17BF902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5</w:t>
      </w:r>
      <w:r w:rsidRPr="0045498A">
        <w:rPr>
          <w:rFonts w:ascii="宋体" w:hAnsi="宋体" w:hint="eastAsia"/>
          <w:sz w:val="24"/>
        </w:rPr>
        <w:t>）防火门监控系统</w:t>
      </w:r>
    </w:p>
    <w:p w14:paraId="2B09D84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防火门监控器设置在消防控制室内，用于显示并控制防火门开启、关闭状态，对防火门处于非正常打开的状态或非正常关闭的状态给出报警提示，使其恢复到正常工作状态，确保防火门功能完好，并上传防火门状态信息至消防联动控制器；防火门监控器专用于防火门监控系统并独立安装，不能兼用其他功能的消防系统，</w:t>
      </w:r>
      <w:proofErr w:type="gramStart"/>
      <w:r w:rsidRPr="0045498A">
        <w:rPr>
          <w:rFonts w:ascii="宋体" w:hAnsi="宋体" w:hint="eastAsia"/>
          <w:sz w:val="24"/>
        </w:rPr>
        <w:t>不</w:t>
      </w:r>
      <w:proofErr w:type="gramEnd"/>
      <w:r w:rsidRPr="0045498A">
        <w:rPr>
          <w:rFonts w:ascii="宋体" w:hAnsi="宋体" w:hint="eastAsia"/>
          <w:sz w:val="24"/>
        </w:rPr>
        <w:t>与其他消防系统共用设备。</w:t>
      </w:r>
    </w:p>
    <w:p w14:paraId="33BAC06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应由常开防火门所在防火分区内的两只独立的火灾探测器或一只火灾探测器与一只手动火灾报警按钮的报警信号，作为常开防火门关闭的联动触发信号，联动触发信号应由火灾报警控制器或消防联动控制器发出，并应由消防联动控制器或防火门监控器联动控制防火门关闭。</w:t>
      </w:r>
    </w:p>
    <w:p w14:paraId="1E75355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疏散通道上各防火门的开启，关闭状态信号应反馈至防火门监控器。</w:t>
      </w:r>
    </w:p>
    <w:p w14:paraId="118C54B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6</w:t>
      </w:r>
      <w:r w:rsidRPr="0045498A">
        <w:rPr>
          <w:rFonts w:ascii="宋体" w:hAnsi="宋体" w:hint="eastAsia"/>
          <w:sz w:val="24"/>
        </w:rPr>
        <w:t>）防排烟系统</w:t>
      </w:r>
    </w:p>
    <w:p w14:paraId="4F9A27C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各栋楼各区域防排烟设计按照《建筑设计防火规范》2018年版（GB50016—2014）及《建筑防烟排烟系统技术标准》（GB51251-2017）相关要求设计。优先采用自然防排烟措施，当不满足自然防排烟要求时，采用机械防排烟。</w:t>
      </w:r>
    </w:p>
    <w:p w14:paraId="67F5B5F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w:t>
      </w:r>
      <w:r w:rsidRPr="0045498A">
        <w:rPr>
          <w:rFonts w:ascii="宋体" w:hAnsi="宋体" w:hint="eastAsia"/>
          <w:sz w:val="24"/>
        </w:rPr>
        <w:t>）消防应急照明和疏散指示系统</w:t>
      </w:r>
    </w:p>
    <w:p w14:paraId="5852C46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消防应急照明和疏散指示</w:t>
      </w:r>
      <w:proofErr w:type="gramStart"/>
      <w:r w:rsidRPr="0045498A">
        <w:rPr>
          <w:rFonts w:ascii="宋体" w:hAnsi="宋体" w:hint="eastAsia"/>
          <w:sz w:val="24"/>
        </w:rPr>
        <w:t>灯采</w:t>
      </w:r>
      <w:proofErr w:type="gramEnd"/>
      <w:r w:rsidRPr="0045498A">
        <w:rPr>
          <w:rFonts w:ascii="宋体" w:hAnsi="宋体" w:hint="eastAsia"/>
          <w:sz w:val="24"/>
        </w:rPr>
        <w:t>用A型灯具，采用集中控制、分布式集中电源的疏散指示系统，应急时由消防控制室中心控制。</w:t>
      </w:r>
    </w:p>
    <w:p w14:paraId="7A45B7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楼梯、走廊、设备房、泵房、控制室及公共场所设消防应急照明。</w:t>
      </w:r>
    </w:p>
    <w:p w14:paraId="5F99BA4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在疏散走到及各安全出口等场所设置疏散照明，</w:t>
      </w:r>
      <w:proofErr w:type="gramStart"/>
      <w:r w:rsidRPr="0045498A">
        <w:rPr>
          <w:rFonts w:ascii="宋体" w:hAnsi="宋体" w:hint="eastAsia"/>
          <w:sz w:val="24"/>
        </w:rPr>
        <w:t>宜设置</w:t>
      </w:r>
      <w:proofErr w:type="gramEnd"/>
      <w:r w:rsidRPr="0045498A">
        <w:rPr>
          <w:rFonts w:ascii="宋体" w:hAnsi="宋体" w:hint="eastAsia"/>
          <w:sz w:val="24"/>
        </w:rPr>
        <w:t>在走道及转角处离地面1.0m以下的墙面上、柱上或地面上，且间距不应大于15m；照度要求：地面不低于1.0lx。</w:t>
      </w:r>
    </w:p>
    <w:p w14:paraId="278C9B00"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装修设计</w:t>
      </w:r>
    </w:p>
    <w:p w14:paraId="58231AF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室内装修材料参照《中国电信数据中心及综合楼室内装修和造价标准》相关要求进行设计。在室内装修材料使用上，首先满足建筑消防耐火要求，在空间上色彩协调，易施工及后期设备维护。力求绿色节能、方便实用、美观大方、在空间的使用功能和视觉审美达到完美结合效果。</w:t>
      </w:r>
    </w:p>
    <w:p w14:paraId="55CEC9B4" w14:textId="77777777" w:rsidR="00616558" w:rsidRPr="0045498A" w:rsidRDefault="00000000" w:rsidP="00FC4798">
      <w:pPr>
        <w:pStyle w:val="3"/>
        <w:spacing w:before="0" w:after="0" w:line="360" w:lineRule="auto"/>
        <w:ind w:left="142" w:hanging="142"/>
        <w:rPr>
          <w:rFonts w:ascii="宋体" w:hAnsi="宋体"/>
          <w:b/>
          <w:bCs w:val="0"/>
          <w:sz w:val="24"/>
          <w:szCs w:val="24"/>
        </w:rPr>
      </w:pPr>
      <w:r w:rsidRPr="0045498A">
        <w:rPr>
          <w:rFonts w:ascii="宋体" w:hAnsi="宋体" w:cs="微软雅黑" w:hint="eastAsia"/>
          <w:b/>
          <w:bCs w:val="0"/>
          <w:sz w:val="24"/>
          <w:szCs w:val="24"/>
        </w:rPr>
        <w:lastRenderedPageBreak/>
        <w:t>施工阶段的现场服务</w:t>
      </w:r>
    </w:p>
    <w:p w14:paraId="791CD2E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投标人承诺将根据本合同工程建设进展情况和招标人的要求提供现场服务，及时派出各专业工程师解决工程中涉及到的设计问题。主要工作包括但不限于：</w:t>
      </w:r>
    </w:p>
    <w:p w14:paraId="61D40A4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（1）参与设计技术协调会，做好设计交底工作。</w:t>
      </w:r>
    </w:p>
    <w:p w14:paraId="1E9B840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（2）各施工阶段开始前，参与图纸会审，解答有关设计问题，并按规定及时出具相应的修改图纸、补充图纸及技术文件。</w:t>
      </w:r>
    </w:p>
    <w:p w14:paraId="4F252E3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（3）投标人派出的本合同工程工地的设计人员，应做好本合同工</w:t>
      </w:r>
      <w:proofErr w:type="gramStart"/>
      <w:r w:rsidRPr="0045498A">
        <w:rPr>
          <w:rFonts w:ascii="宋体" w:hAnsi="宋体"/>
          <w:sz w:val="24"/>
        </w:rPr>
        <w:t>程全部</w:t>
      </w:r>
      <w:proofErr w:type="gramEnd"/>
      <w:r w:rsidRPr="0045498A">
        <w:rPr>
          <w:rFonts w:ascii="宋体" w:hAnsi="宋体"/>
          <w:sz w:val="24"/>
        </w:rPr>
        <w:t>项目的设计管理服务工作，配合招标人进行现场巡查，直至工程竣工验收合格时止。当建设过程中对设计文件有疑问时，投标人在接到通知后，应及时派出专业工程师解决。属于一般设计问题，若无特殊情况，应在1天内解决；属于重大设计问题，可在5天内书面提出解决意见；对设计图纸与现场不符之处，应及时提出解决办法。</w:t>
      </w:r>
    </w:p>
    <w:p w14:paraId="606B428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（4）设计负责人应参加招标人召开的协调会、调度会。</w:t>
      </w:r>
    </w:p>
    <w:p w14:paraId="0DE5397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设计成果要求</w:t>
      </w:r>
    </w:p>
    <w:p w14:paraId="2DDAA269"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设计文件深度规定</w:t>
      </w:r>
    </w:p>
    <w:p w14:paraId="37956C9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w:t>
      </w:r>
      <w:r w:rsidRPr="0045498A">
        <w:rPr>
          <w:rFonts w:ascii="宋体" w:hAnsi="宋体" w:hint="eastAsia"/>
          <w:sz w:val="24"/>
        </w:rPr>
        <w:t>工程设计文件的深度应满足《建筑工程设计文件编制深度规定》（2016版）、本项目设计任务书要求，并符合国家、地方及行业现行有效的相关法律、法规、技术标准、规范、条例、规定等。</w:t>
      </w:r>
    </w:p>
    <w:p w14:paraId="7A748E0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w:t>
      </w:r>
      <w:r w:rsidRPr="0045498A">
        <w:rPr>
          <w:rFonts w:ascii="宋体" w:hAnsi="宋体" w:hint="eastAsia"/>
          <w:sz w:val="24"/>
        </w:rPr>
        <w:t>承包人提交的设计成果文件应满足合同约定的时间要求；相关设计成果文件的质量须通过发包人或发包人委托的第三方根据合同约定标准进行的审核。承包人设计成果文件的提交时间以符合合同约定质量的设计成果文件的提交时间为准。</w:t>
      </w:r>
    </w:p>
    <w:p w14:paraId="6479E8A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w:t>
      </w:r>
      <w:r w:rsidRPr="0045498A">
        <w:rPr>
          <w:rFonts w:ascii="宋体" w:hAnsi="宋体" w:hint="eastAsia"/>
          <w:sz w:val="24"/>
        </w:rPr>
        <w:t>承包人必须按照经过发包人审批确定的设计进度计划及时提交设计中间资料，以满足发包人开展有关工作的需要，有关费用已包含在本合同约定的设计费用之内。</w:t>
      </w:r>
    </w:p>
    <w:p w14:paraId="33DF32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w:t>
      </w:r>
      <w:r w:rsidRPr="0045498A">
        <w:rPr>
          <w:rFonts w:ascii="宋体" w:hAnsi="宋体" w:hint="eastAsia"/>
          <w:sz w:val="24"/>
        </w:rPr>
        <w:t>承包人向发包人提交的各版次设计成果文件应满足设计文件审批的要求及本合同工程各阶段建设的需要。</w:t>
      </w:r>
    </w:p>
    <w:p w14:paraId="149D43D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（5）</w:t>
      </w:r>
      <w:r w:rsidRPr="0045498A">
        <w:rPr>
          <w:rFonts w:ascii="宋体" w:hAnsi="宋体" w:hint="eastAsia"/>
          <w:sz w:val="24"/>
        </w:rPr>
        <w:t>承包人按合同约定的时限将设计成果文件或资料交付至发包人指定的地点，相关费用已经含于本合同的设计费中。</w:t>
      </w:r>
    </w:p>
    <w:p w14:paraId="703FEE8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（6）</w:t>
      </w:r>
      <w:r w:rsidRPr="0045498A">
        <w:rPr>
          <w:rFonts w:ascii="宋体" w:hAnsi="宋体" w:hint="eastAsia"/>
          <w:sz w:val="24"/>
        </w:rPr>
        <w:t>在报建过程中需要提供设计成果文件或设计中间资料的电子文档的，承包人应配合提供，费用已经含于本合同设计费中。</w:t>
      </w:r>
    </w:p>
    <w:p w14:paraId="5FADF0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w:t>
      </w:r>
      <w:r w:rsidRPr="0045498A">
        <w:rPr>
          <w:rFonts w:ascii="宋体" w:hAnsi="宋体" w:hint="eastAsia"/>
          <w:sz w:val="24"/>
        </w:rPr>
        <w:t>如发包人提出对设计成果文件提交的时间进行调整，承包人应予以配合。</w:t>
      </w:r>
    </w:p>
    <w:p w14:paraId="2EFFBB8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（8）</w:t>
      </w:r>
      <w:r w:rsidRPr="0045498A">
        <w:rPr>
          <w:rFonts w:ascii="宋体" w:hAnsi="宋体" w:hint="eastAsia"/>
          <w:sz w:val="24"/>
        </w:rPr>
        <w:t>对于承包人在本合同项下提供的设计成果（包括各阶段的工作成果），发包人或</w:t>
      </w:r>
      <w:r w:rsidRPr="0045498A">
        <w:rPr>
          <w:rFonts w:ascii="宋体" w:hAnsi="宋体" w:hint="eastAsia"/>
          <w:sz w:val="24"/>
        </w:rPr>
        <w:lastRenderedPageBreak/>
        <w:t>发包人委托的其他人根据本合同的要求进行签收。对于不符合本合同的要求的，承包人应根据合同的要求，并在发包人规定的时间内进行修改，直至符合本合同的要求。</w:t>
      </w:r>
    </w:p>
    <w:p w14:paraId="23CA6D02"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各阶段成果要求</w:t>
      </w:r>
    </w:p>
    <w:p w14:paraId="27C4B155"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方案设计要求</w:t>
      </w:r>
    </w:p>
    <w:p w14:paraId="3FD3C7E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满足招标文件或发包人要求，符合经批复的可行性研究报告。满足规划指标、用地红线图及城乡规划条件。总平面布置合理；合理考虑了建设场地区域位置、场地周围50m 环境（城市规划及发展思路）、分期建设</w:t>
      </w:r>
      <w:proofErr w:type="gramStart"/>
      <w:r w:rsidRPr="0045498A">
        <w:rPr>
          <w:rFonts w:ascii="宋体" w:hAnsi="宋体" w:hint="eastAsia"/>
          <w:sz w:val="24"/>
        </w:rPr>
        <w:t>规划及续扩建</w:t>
      </w:r>
      <w:proofErr w:type="gramEnd"/>
      <w:r w:rsidRPr="0045498A">
        <w:rPr>
          <w:rFonts w:ascii="宋体" w:hAnsi="宋体" w:hint="eastAsia"/>
          <w:sz w:val="24"/>
        </w:rPr>
        <w:t>处理、建筑规模、建筑物的组成、主要经济指标、场地功能分区、主次入口布置及车流人流组织、消防设计、绿化、日照、安全、防疫等要求；</w:t>
      </w:r>
    </w:p>
    <w:p w14:paraId="3AA96B7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工艺设计合理、建筑功能是否使用要求，包含并考虑了建筑面积、主要技术指标、伸缩缝、沉降缝、抗震</w:t>
      </w:r>
      <w:proofErr w:type="gramStart"/>
      <w:r w:rsidRPr="0045498A">
        <w:rPr>
          <w:rFonts w:ascii="宋体" w:hAnsi="宋体" w:hint="eastAsia"/>
          <w:sz w:val="24"/>
        </w:rPr>
        <w:t>缝设计</w:t>
      </w:r>
      <w:proofErr w:type="gramEnd"/>
      <w:r w:rsidRPr="0045498A">
        <w:rPr>
          <w:rFonts w:ascii="宋体" w:hAnsi="宋体" w:hint="eastAsia"/>
          <w:sz w:val="24"/>
        </w:rPr>
        <w:t>原则、平面大功能块布置、层数和层高、水平及垂直交通组织、地下建筑物设计原则、相邻建筑物连接部分的处理、立面造型及周围环境空间的关系处理、装修标准及建筑色彩等因素；</w:t>
      </w:r>
    </w:p>
    <w:p w14:paraId="108DBAE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考虑自然条件如主导风向及基本风压值、全年气温、地震基本烈度、最高洪水位、航空控制高度等因素。</w:t>
      </w:r>
    </w:p>
    <w:p w14:paraId="284832F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深化设计的项目图纸（包括但不</w:t>
      </w:r>
      <w:proofErr w:type="gramStart"/>
      <w:r w:rsidRPr="0045498A">
        <w:rPr>
          <w:rFonts w:ascii="宋体" w:hAnsi="宋体" w:hint="eastAsia"/>
          <w:sz w:val="24"/>
        </w:rPr>
        <w:t>限于总平图</w:t>
      </w:r>
      <w:proofErr w:type="gramEnd"/>
      <w:r w:rsidRPr="0045498A">
        <w:rPr>
          <w:rFonts w:ascii="宋体" w:hAnsi="宋体" w:hint="eastAsia"/>
          <w:sz w:val="24"/>
        </w:rPr>
        <w:t>、效果图、平面图、立面图、剖面图等）需通过政府相关部门审批并满足发包人的要求，并为下一步设计提供依据，设计内容应包括：</w:t>
      </w:r>
    </w:p>
    <w:p w14:paraId="74D8220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①　方案深化建议</w:t>
      </w:r>
    </w:p>
    <w:p w14:paraId="229DF01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②　设计说明</w:t>
      </w:r>
    </w:p>
    <w:p w14:paraId="200F4BF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③　总平面图</w:t>
      </w:r>
    </w:p>
    <w:p w14:paraId="05E2E8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④　经济技术指标表（符合规划条件要求）</w:t>
      </w:r>
    </w:p>
    <w:p w14:paraId="6D0D9E0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⑤　各类规划分析图</w:t>
      </w:r>
    </w:p>
    <w:p w14:paraId="3E74C15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⑥　总体鸟瞰图、主体建筑外观效果图，环境、绿化、景观效果图</w:t>
      </w:r>
    </w:p>
    <w:p w14:paraId="202A33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⑦　平面图（各功能科室布置到位、防火分区划分合理、设备用房布置到位等）</w:t>
      </w:r>
    </w:p>
    <w:p w14:paraId="0E028F2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⑧　立面图</w:t>
      </w:r>
    </w:p>
    <w:p w14:paraId="133A560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⑨　剖面图</w:t>
      </w:r>
    </w:p>
    <w:p w14:paraId="400357B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⑩　其他有必要提供的资料。</w:t>
      </w:r>
    </w:p>
    <w:p w14:paraId="5B489CAF"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初步设计</w:t>
      </w:r>
    </w:p>
    <w:p w14:paraId="0BAFCEE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总体目标：</w:t>
      </w:r>
    </w:p>
    <w:p w14:paraId="72A21C6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各专业设计文件完整，包括但不限于建筑、结构、给排水、暖通、建筑电气、装饰、工艺、智能化、以及经济专业；</w:t>
      </w:r>
    </w:p>
    <w:p w14:paraId="5028B87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工艺设计合理，建筑功能是否使用要求；场地标高与建筑布置考虑土方平衡降低造价； 结构选型经济合理；各设备系统经过充分对比论证，设备的选材、选型合理；建筑外墙、屋面、装饰选材合理；提供关键技术问题的解决方法；提请在设计审批时需解决或确定的主要问题；说明绿色建筑设计目标，采用的主要绿色建筑技术和措施；考虑分期建设，对分期建设的项目，说明前期、近期和远期结合的设计原则和依据性资料；初步设计概算：编制依据、取费、计价的依据完整；单位价格指标合理；考虑并参考当地的价格信息；税率正确；考虑场地的自然条件和施工条件对造价的影响等因素。</w:t>
      </w:r>
    </w:p>
    <w:p w14:paraId="4539A2A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承包人本阶段应着手于初步设计文件的编制，并提交发包人确认，以进一步完善设计构思，为施工图设计做准备。深度应满足发包人审批要求的深度，满足主要材料设备订货和指导施工图设计的要求。提交文件主要包括：</w:t>
      </w:r>
    </w:p>
    <w:p w14:paraId="4F215F9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①　设计说明（设计总说明、各专业设计说明。对于涉及建筑节能、环保、绿色建筑、人防等，其设计说明应有相应的专项内容）</w:t>
      </w:r>
    </w:p>
    <w:p w14:paraId="4E5E1BC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②　有关专业的设计图纸</w:t>
      </w:r>
    </w:p>
    <w:p w14:paraId="0B5C399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③　主要设备或材料表</w:t>
      </w:r>
    </w:p>
    <w:p w14:paraId="6C196A2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④　工程概算书</w:t>
      </w:r>
    </w:p>
    <w:p w14:paraId="260B663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⑤　有关专业计算书</w:t>
      </w:r>
    </w:p>
    <w:p w14:paraId="1E5E11F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⑥　其他有必要提供的资料。</w:t>
      </w:r>
    </w:p>
    <w:p w14:paraId="19E52354"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施工图设计</w:t>
      </w:r>
      <w:r w:rsidRPr="0045498A">
        <w:rPr>
          <w:rFonts w:ascii="宋体" w:hAnsi="宋体" w:hint="eastAsia"/>
          <w:sz w:val="24"/>
          <w:szCs w:val="24"/>
        </w:rPr>
        <w:t xml:space="preserve"> </w:t>
      </w:r>
    </w:p>
    <w:p w14:paraId="0689102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施工图设计文件，应当满足设备材料采购、非标准设备制作和施工的需要，并注明建设工程合理使用年限。完整的施工图设计文件应包括所有专业的设计图纸（含图纸目录、说明和必要的设备、材料表等）、建筑节能设计的专项内容、工程预算书、各专业计算书。</w:t>
      </w:r>
    </w:p>
    <w:p w14:paraId="533C87D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施工图设计是在初步设计的基础上进行深化，在效果不变的情况下，针对材料选用进行优化，完善施工工艺做法等且经发包人确认的施工图纸。在设计过程中，须根据各类设计成果进行施工图设计和配合工作，将初步设计完全深化至可实施的设计图纸。深度应能满足材料设备的选择与确定、非标准设备的设计与加工制作、施工图预算的编制，达到能</w:t>
      </w:r>
      <w:proofErr w:type="gramStart"/>
      <w:r w:rsidRPr="0045498A">
        <w:rPr>
          <w:rFonts w:ascii="宋体" w:hAnsi="宋体" w:hint="eastAsia"/>
          <w:sz w:val="24"/>
        </w:rPr>
        <w:t>完全指导</w:t>
      </w:r>
      <w:proofErr w:type="gramEnd"/>
      <w:r w:rsidRPr="0045498A">
        <w:rPr>
          <w:rFonts w:ascii="宋体" w:hAnsi="宋体" w:hint="eastAsia"/>
          <w:sz w:val="24"/>
        </w:rPr>
        <w:t>承包人进行施工的程度。主要包括：</w:t>
      </w:r>
    </w:p>
    <w:p w14:paraId="5433683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①　设计说明（设计总说明、各专业设计说明。对于涉及建筑节能、环保、绿色建筑、 海绵城市等，其设计说明应有相应的专项内容）</w:t>
      </w:r>
    </w:p>
    <w:p w14:paraId="5331F98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②　有关专业的设计图纸</w:t>
      </w:r>
    </w:p>
    <w:p w14:paraId="3F3E409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③　主要设备或材料表</w:t>
      </w:r>
    </w:p>
    <w:p w14:paraId="5241334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④　施工图预算</w:t>
      </w:r>
    </w:p>
    <w:p w14:paraId="2A58204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⑤　有关专业计算书</w:t>
      </w:r>
    </w:p>
    <w:p w14:paraId="11DA16B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⑥　其他有必要提供的资料</w:t>
      </w:r>
    </w:p>
    <w:p w14:paraId="76A60753"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宋体" w:hint="eastAsia"/>
          <w:sz w:val="24"/>
          <w:szCs w:val="24"/>
        </w:rPr>
        <w:t>图纸要求</w:t>
      </w:r>
    </w:p>
    <w:p w14:paraId="5A73F8BB"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方案设计</w:t>
      </w:r>
    </w:p>
    <w:p w14:paraId="2E1A08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设计文本统一以 A3(420mmX297mm)规格编排装订成册。文本数量8份（不包含报建及中间沟通稿所需图纸）。</w:t>
      </w:r>
    </w:p>
    <w:p w14:paraId="37BB9C27"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初步设计</w:t>
      </w:r>
    </w:p>
    <w:p w14:paraId="3362454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各专业</w:t>
      </w:r>
      <w:proofErr w:type="gramStart"/>
      <w:r w:rsidRPr="0045498A">
        <w:rPr>
          <w:rFonts w:ascii="宋体" w:hAnsi="宋体" w:hint="eastAsia"/>
          <w:sz w:val="24"/>
        </w:rPr>
        <w:t>图纸图纸</w:t>
      </w:r>
      <w:proofErr w:type="gramEnd"/>
      <w:r w:rsidRPr="0045498A">
        <w:rPr>
          <w:rFonts w:ascii="宋体" w:hAnsi="宋体" w:hint="eastAsia"/>
          <w:sz w:val="24"/>
        </w:rPr>
        <w:t>规格需尽量做到统一，各专业图纸数量8份（其中2套A3精装本），A3文本2套；</w:t>
      </w:r>
    </w:p>
    <w:p w14:paraId="5C08AF13"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施工图设计</w:t>
      </w:r>
    </w:p>
    <w:p w14:paraId="5431568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各专业图纸规格需尽量做到统一，每专业每栋楼图纸规格不得超过三种。各专业图纸数量10份；计算书2套；</w:t>
      </w:r>
    </w:p>
    <w:p w14:paraId="03D13EBB"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宋体" w:hint="eastAsia"/>
          <w:sz w:val="24"/>
          <w:szCs w:val="24"/>
        </w:rPr>
        <w:t>电子文件</w:t>
      </w:r>
    </w:p>
    <w:p w14:paraId="0D603C9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承包人除向发包人提交纸质版设计资料及文件外，还应提交所有资料</w:t>
      </w:r>
      <w:proofErr w:type="gramStart"/>
      <w:r w:rsidRPr="0045498A">
        <w:rPr>
          <w:rFonts w:ascii="宋体" w:hAnsi="宋体" w:hint="eastAsia"/>
          <w:sz w:val="24"/>
        </w:rPr>
        <w:t>最终版电子</w:t>
      </w:r>
      <w:proofErr w:type="gramEnd"/>
      <w:r w:rsidRPr="0045498A">
        <w:rPr>
          <w:rFonts w:ascii="宋体" w:hAnsi="宋体" w:hint="eastAsia"/>
          <w:sz w:val="24"/>
        </w:rPr>
        <w:t>文件 6 套（电子光盘及电子U盘各</w:t>
      </w:r>
      <w:r w:rsidRPr="0045498A">
        <w:rPr>
          <w:rFonts w:ascii="宋体" w:hAnsi="宋体"/>
          <w:sz w:val="24"/>
        </w:rPr>
        <w:t>3</w:t>
      </w:r>
      <w:r w:rsidRPr="0045498A">
        <w:rPr>
          <w:rFonts w:ascii="宋体" w:hAnsi="宋体" w:hint="eastAsia"/>
          <w:sz w:val="24"/>
        </w:rPr>
        <w:t>套）（</w:t>
      </w:r>
      <w:proofErr w:type="gramStart"/>
      <w:r w:rsidRPr="0045498A">
        <w:rPr>
          <w:rFonts w:ascii="宋体" w:hAnsi="宋体" w:hint="eastAsia"/>
          <w:sz w:val="24"/>
        </w:rPr>
        <w:t>除效果</w:t>
      </w:r>
      <w:proofErr w:type="gramEnd"/>
      <w:r w:rsidRPr="0045498A">
        <w:rPr>
          <w:rFonts w:ascii="宋体" w:hAnsi="宋体" w:hint="eastAsia"/>
          <w:sz w:val="24"/>
        </w:rPr>
        <w:t>图外，图纸格式为dwg及PDF格式，版本号以发包人要求为准）。</w:t>
      </w:r>
    </w:p>
    <w:p w14:paraId="400035BB"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hint="eastAsia"/>
          <w:sz w:val="24"/>
          <w:szCs w:val="24"/>
        </w:rPr>
        <w:t>BIM</w:t>
      </w:r>
      <w:r w:rsidRPr="0045498A">
        <w:rPr>
          <w:rFonts w:ascii="宋体" w:hAnsi="宋体" w:cs="宋体" w:hint="eastAsia"/>
          <w:sz w:val="24"/>
          <w:szCs w:val="24"/>
        </w:rPr>
        <w:t>文件要求</w:t>
      </w:r>
    </w:p>
    <w:p w14:paraId="631A237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承包人在各个设计阶段结合发包人审批的初步设计、施工图设计等文件，并在各个阶段向发包人提交包含阶段性要求的工程信息的BIM电子文件 2 套。</w:t>
      </w:r>
    </w:p>
    <w:p w14:paraId="7CCF98F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工程施工阶段，施工过程中的工程信息变动，承包人应实时更新。</w:t>
      </w:r>
    </w:p>
    <w:p w14:paraId="432B5A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程竣工后30日内，承包人完善BIM竣工模型并向发包人交付，交付内容含可用于编辑、查阅各阶段工程信息的软件系统（含备份、启动及恢复盘）、可用于计算机及移动设备终端的使用环境，本项目BIM竣工模型电子文件 2 套，备份 BIM 竣工模型电子文件 1套，以便竣工图备案管理。</w:t>
      </w:r>
    </w:p>
    <w:p w14:paraId="7137D6D7" w14:textId="77777777" w:rsidR="00616558" w:rsidRPr="0045498A" w:rsidRDefault="00000000" w:rsidP="00FC4798">
      <w:pPr>
        <w:pStyle w:val="10"/>
        <w:spacing w:before="0" w:after="0" w:line="360" w:lineRule="auto"/>
        <w:ind w:left="425"/>
        <w:jc w:val="left"/>
        <w:rPr>
          <w:rFonts w:ascii="宋体" w:eastAsia="宋体" w:hAnsi="宋体"/>
          <w:sz w:val="24"/>
          <w:szCs w:val="24"/>
        </w:rPr>
      </w:pPr>
      <w:bookmarkStart w:id="13" w:name="（三）施工采购总承包管理的内容"/>
      <w:bookmarkEnd w:id="13"/>
      <w:r w:rsidRPr="0045498A">
        <w:rPr>
          <w:rFonts w:ascii="宋体" w:eastAsia="宋体" w:hAnsi="宋体" w:hint="eastAsia"/>
          <w:sz w:val="24"/>
          <w:szCs w:val="24"/>
        </w:rPr>
        <w:t>.</w:t>
      </w:r>
      <w:r w:rsidRPr="0045498A">
        <w:rPr>
          <w:rFonts w:ascii="宋体" w:eastAsia="宋体" w:hAnsi="宋体"/>
          <w:sz w:val="24"/>
          <w:szCs w:val="24"/>
        </w:rPr>
        <w:t>施工</w:t>
      </w:r>
      <w:r w:rsidRPr="0045498A">
        <w:rPr>
          <w:rFonts w:ascii="宋体" w:eastAsia="宋体" w:hAnsi="宋体" w:hint="eastAsia"/>
          <w:sz w:val="24"/>
          <w:szCs w:val="24"/>
        </w:rPr>
        <w:t>要求</w:t>
      </w:r>
    </w:p>
    <w:p w14:paraId="0639E381" w14:textId="77777777" w:rsidR="00616558" w:rsidRPr="0045498A" w:rsidRDefault="00000000">
      <w:pPr>
        <w:snapToGrid w:val="0"/>
        <w:spacing w:line="360" w:lineRule="auto"/>
        <w:ind w:firstLineChars="200" w:firstLine="482"/>
        <w:rPr>
          <w:rFonts w:ascii="宋体" w:hAnsi="宋体"/>
          <w:b/>
          <w:bCs/>
          <w:sz w:val="24"/>
        </w:rPr>
      </w:pPr>
      <w:r w:rsidRPr="0045498A">
        <w:rPr>
          <w:rFonts w:ascii="宋体" w:hAnsi="宋体" w:hint="eastAsia"/>
          <w:b/>
          <w:bCs/>
          <w:sz w:val="24"/>
        </w:rPr>
        <w:t>严格按照最终确认的施工图及工程变更内容施工，不得随意更改施工内容。</w:t>
      </w:r>
    </w:p>
    <w:p w14:paraId="75D986D4"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lastRenderedPageBreak/>
        <w:t>项目管理要求</w:t>
      </w:r>
    </w:p>
    <w:p w14:paraId="3516715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（1）周报、月报：投标人需编制周报和月报，并将提交给监理或招标人。第一次报告从开工日期起，此后每周提交周报、每月最后一周提交月报，报告应持续至投标人完成了工程竣工验收为止。</w:t>
      </w:r>
    </w:p>
    <w:p w14:paraId="390720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（2）投标人应严格遵守招标人、监理人就涉及或有关本项目的任何事项所</w:t>
      </w:r>
      <w:proofErr w:type="gramStart"/>
      <w:r w:rsidRPr="0045498A">
        <w:rPr>
          <w:rFonts w:ascii="宋体" w:hAnsi="宋体"/>
          <w:sz w:val="24"/>
        </w:rPr>
        <w:t>作出</w:t>
      </w:r>
      <w:proofErr w:type="gramEnd"/>
      <w:r w:rsidRPr="0045498A">
        <w:rPr>
          <w:rFonts w:ascii="宋体" w:hAnsi="宋体"/>
          <w:sz w:val="24"/>
        </w:rPr>
        <w:t>的指令，无论这些事项在合同中是否写明。招标人及监理人发现现场施工不符合要求从而影响了工程质量、安全生产、文明施工，向投标人提出整改或返工要求的，投标人必须在要求的合理时限内整改完成并回复。</w:t>
      </w:r>
    </w:p>
    <w:p w14:paraId="6172C4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投标人应加强现场人员管理，主要管理人员须按照约定常驻现场，不得擅自离岗，且投标人必须按照招标人、监理要求及时将不合格人员调离出本工程，同时在规定的时间内，用招标人、监理人批准的合格人员代替调离的人员。</w:t>
      </w:r>
    </w:p>
    <w:p w14:paraId="0AE23A6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工程建设过程中，招标人或监理人发给投标人的工作指令、整改通知单等文件，投标人应签收并执行，如果拒绝签收或签收不执行的视为投标人已签收，因此产生的责任及费用由投标人承担。如招标人和投标人双方发生争议、投标人不得以争议未解决为由停工，否则视为违约，由此延误的工期不可得到工期顺延，同时招标人有权解除合同，投标人</w:t>
      </w:r>
      <w:proofErr w:type="gramStart"/>
      <w:r w:rsidRPr="0045498A">
        <w:rPr>
          <w:rFonts w:ascii="宋体" w:hAnsi="宋体"/>
          <w:sz w:val="24"/>
        </w:rPr>
        <w:t>应承担给招标</w:t>
      </w:r>
      <w:proofErr w:type="gramEnd"/>
      <w:r w:rsidRPr="0045498A">
        <w:rPr>
          <w:rFonts w:ascii="宋体" w:hAnsi="宋体"/>
          <w:sz w:val="24"/>
        </w:rPr>
        <w:t>人造成的损失。</w:t>
      </w:r>
    </w:p>
    <w:p w14:paraId="23E77F9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6）现场监理工程师代表招标人对本工程施工质量、施工进度、安全、工程造价等进行全面监督和检查，投标人应随时接受监理人监督和检查，为检查提供便利条件，及时根据要求向招标人、监理人提供与工程有关的技术资料，并按检查的结果进行整改。</w:t>
      </w:r>
    </w:p>
    <w:p w14:paraId="0316E5E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提出统一的施工技术档案建档立卷规则，负责对工程技术档案进行汇总，负责对各施工单位档案管理工作进行检查；联系档案管理部门，组织对工程档案进行中间检查和竣工前验收；督促其他承包商进行档案整改，组织办理档案移交。</w:t>
      </w:r>
    </w:p>
    <w:p w14:paraId="207F8AA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（9）对项目风险进行识别、分析、应对和监控管理（包括把正面事件的影响概率扩展到最大，把负面事件的影响概率减少到最小）。</w:t>
      </w:r>
    </w:p>
    <w:p w14:paraId="57F7863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（10）对项目实施全过程的职业健康因素进行管理，包括：制定职业健康方针和目标，对项目的职业健康进行策划、管理和控制。</w:t>
      </w:r>
    </w:p>
    <w:p w14:paraId="4DE57A8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（11）在项目实施过程中，对可能造成环境影响的因素进行分析、预测和评估，提出预防或减轻不良环境影响的对策和措施，并进行跟踪和监测。</w:t>
      </w:r>
    </w:p>
    <w:p w14:paraId="779B230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（12）根据工程总承包项目的范围、内容、要求和资源状况等，向招标人提出专业分包、材料设备的采购招标计划、技术文件。</w:t>
      </w:r>
    </w:p>
    <w:p w14:paraId="159B990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（1</w:t>
      </w:r>
      <w:r w:rsidRPr="0045498A">
        <w:rPr>
          <w:rFonts w:ascii="宋体" w:hAnsi="宋体"/>
          <w:sz w:val="24"/>
        </w:rPr>
        <w:t>3</w:t>
      </w:r>
      <w:r w:rsidRPr="0045498A">
        <w:rPr>
          <w:rFonts w:ascii="宋体" w:hAnsi="宋体" w:hint="eastAsia"/>
          <w:sz w:val="24"/>
        </w:rPr>
        <w:t>）</w:t>
      </w:r>
      <w:bookmarkStart w:id="14" w:name="_Hlk103008448"/>
      <w:r w:rsidRPr="0045498A">
        <w:rPr>
          <w:rFonts w:ascii="宋体" w:hAnsi="宋体" w:hint="eastAsia"/>
          <w:sz w:val="24"/>
        </w:rPr>
        <w:t>根据项目能耗指标编制节能报告并组织通过专家评审。</w:t>
      </w:r>
    </w:p>
    <w:bookmarkEnd w:id="14"/>
    <w:p w14:paraId="0D4AD1DA"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施工计划及施工方案</w:t>
      </w:r>
    </w:p>
    <w:p w14:paraId="0A615B0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需要由投标人提供的文件，包括但不限于：施工总平面布置方案、施工组织设计、脚手架方案、高支模方案、防水工程施工方案、钢结构加工及吊装方案、钢筋加工及施工方案、混凝土施工方案、生活区管理方案、安全文明施工方案、应急预案、危化品管控方案、成品保护方案、质量管控方案、各施工阶段交通物流及人流管控方案、室外综合管线及道路施工方案、设备基础、空间管理综合管架施工方案、临时雨水排放、临水和临时消防方案、临电方案、雨季施工方案、春节无</w:t>
      </w:r>
      <w:proofErr w:type="gramStart"/>
      <w:r w:rsidRPr="0045498A">
        <w:rPr>
          <w:rFonts w:ascii="宋体" w:hAnsi="宋体"/>
          <w:sz w:val="24"/>
        </w:rPr>
        <w:t>休连续</w:t>
      </w:r>
      <w:proofErr w:type="gramEnd"/>
      <w:r w:rsidRPr="0045498A">
        <w:rPr>
          <w:rFonts w:ascii="宋体" w:hAnsi="宋体"/>
          <w:sz w:val="24"/>
        </w:rPr>
        <w:t>施工保障方案、进度滞后风险对策及赶工方案、</w:t>
      </w:r>
      <w:proofErr w:type="gramStart"/>
      <w:r w:rsidRPr="0045498A">
        <w:rPr>
          <w:rFonts w:ascii="宋体" w:hAnsi="宋体"/>
          <w:sz w:val="24"/>
        </w:rPr>
        <w:t>拆架退料</w:t>
      </w:r>
      <w:proofErr w:type="gramEnd"/>
      <w:r w:rsidRPr="0045498A">
        <w:rPr>
          <w:rFonts w:ascii="宋体" w:hAnsi="宋体"/>
          <w:sz w:val="24"/>
        </w:rPr>
        <w:t>方案、主要施工物资保障方案、资金计划方案、新冠疫情防控方案等；</w:t>
      </w:r>
    </w:p>
    <w:p w14:paraId="53EE1CA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投标人向监理及招标人提交符合工程实际情况的施工组织设计和工程进度计划，详细说明整个工程的总进度计划、劳动力计划、机械设备进场计划、材料计划、需配合的事项、可能遇到的不利因素及相应的措施等，投标人必须按招标人工程师和监理工程师确认的进度计划组织施工，接受招标人、监理工程师对进度的检查和监督。</w:t>
      </w:r>
    </w:p>
    <w:p w14:paraId="70CDBE8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投标人应向招标人和监理工程师提交主要工序的施工方案及质量管控方案，且不应对随投标文件提交的施工规划和施工方案做实质性变动，而是对其进一步细化。在施工过程中，招标人有权要求投标人随时提交施工规划和施工方案的任何说明或文件。投标人应按照经招标人和监理工程师批准的施工规划和施工方案进行施工。在任何情况下，招标人和监理工程师对上述施工规划或施工方案的批准不解除投标人对其应负的责任。</w:t>
      </w:r>
    </w:p>
    <w:p w14:paraId="20124F8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投标人每周例会前上报下周进度计划。在施工过程中，工程实际进度与经确认的施工组织设计和工程进度不符时，投标人应按现场招标人和监理的要求提出改进措施，经招标人和监理确认后执行，因投标人的原因导致实际进度与进度计划不符，投标人应采取赶工措施，投标人不能就此赶工措施索要额外的费用和工期，非投标人原因，</w:t>
      </w:r>
      <w:proofErr w:type="gramStart"/>
      <w:r w:rsidRPr="0045498A">
        <w:rPr>
          <w:rFonts w:ascii="宋体" w:hAnsi="宋体"/>
          <w:sz w:val="24"/>
        </w:rPr>
        <w:t>若工</w:t>
      </w:r>
      <w:proofErr w:type="gramEnd"/>
      <w:r w:rsidRPr="0045498A">
        <w:rPr>
          <w:rFonts w:ascii="宋体" w:hAnsi="宋体"/>
          <w:sz w:val="24"/>
        </w:rPr>
        <w:t>期延误，工期顺延。</w:t>
      </w:r>
    </w:p>
    <w:p w14:paraId="7981C0D6"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临时场地和设施管理</w:t>
      </w:r>
    </w:p>
    <w:p w14:paraId="01CFC6E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（1）投标人应按专业工程划分和项目进度计划，对施工区域进行规划和管理，负责编制施工总平面图，动态地调整场地布置；负责划分</w:t>
      </w:r>
      <w:r w:rsidRPr="0045498A">
        <w:rPr>
          <w:rFonts w:ascii="宋体" w:hAnsi="宋体" w:hint="eastAsia"/>
          <w:sz w:val="24"/>
        </w:rPr>
        <w:t>各工序</w:t>
      </w:r>
      <w:r w:rsidRPr="0045498A">
        <w:rPr>
          <w:rFonts w:ascii="宋体" w:hAnsi="宋体"/>
          <w:sz w:val="24"/>
        </w:rPr>
        <w:t>的施工场地照管责任范围，提出主要施工道路、标志标识、临时排水排污设施、供电照明和供水线路、临时消防设施、办公生活设施、围墙规划和划分施工界面。（2）负责临时</w:t>
      </w:r>
      <w:r w:rsidRPr="0045498A">
        <w:rPr>
          <w:rFonts w:ascii="宋体" w:hAnsi="宋体" w:hint="eastAsia"/>
          <w:sz w:val="24"/>
        </w:rPr>
        <w:t>用水、临时用电、临时</w:t>
      </w:r>
      <w:r w:rsidRPr="0045498A">
        <w:rPr>
          <w:rFonts w:ascii="宋体" w:hAnsi="宋体"/>
          <w:sz w:val="24"/>
        </w:rPr>
        <w:t>道路及围挡的修建与日常维护。</w:t>
      </w:r>
    </w:p>
    <w:p w14:paraId="1B0F759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lastRenderedPageBreak/>
        <w:t>施工现场及准备</w:t>
      </w:r>
    </w:p>
    <w:p w14:paraId="3B1F3FF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（1）施工场地内施工所需水的接驳地点</w:t>
      </w:r>
      <w:r w:rsidRPr="0045498A">
        <w:rPr>
          <w:rFonts w:ascii="宋体" w:hAnsi="宋体" w:hint="eastAsia"/>
          <w:sz w:val="24"/>
        </w:rPr>
        <w:t>，按合同约定执行</w:t>
      </w:r>
      <w:r w:rsidRPr="0045498A">
        <w:rPr>
          <w:rFonts w:ascii="宋体" w:hAnsi="宋体"/>
          <w:sz w:val="24"/>
        </w:rPr>
        <w:t>。</w:t>
      </w:r>
    </w:p>
    <w:p w14:paraId="38E56E8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（2）施工场地内施工所需电的接驳地点</w:t>
      </w:r>
      <w:r w:rsidRPr="0045498A">
        <w:rPr>
          <w:rFonts w:ascii="宋体" w:hAnsi="宋体" w:hint="eastAsia"/>
          <w:sz w:val="24"/>
        </w:rPr>
        <w:t>，按合同约定执行</w:t>
      </w:r>
      <w:r w:rsidRPr="0045498A">
        <w:rPr>
          <w:rFonts w:ascii="宋体" w:hAnsi="宋体"/>
          <w:sz w:val="24"/>
        </w:rPr>
        <w:t>。</w:t>
      </w:r>
    </w:p>
    <w:p w14:paraId="54CDE05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（3）施工场地内施工所需通讯的接驳地点：招标人不指定接驳地点，由投标人自行接驳并承担一切费用，投标时应综合考虑。</w:t>
      </w:r>
    </w:p>
    <w:p w14:paraId="79239B3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（4）为本工程顺利执</w:t>
      </w:r>
      <w:r w:rsidRPr="0045498A">
        <w:rPr>
          <w:rFonts w:ascii="宋体" w:hAnsi="宋体" w:hint="eastAsia"/>
          <w:sz w:val="24"/>
        </w:rPr>
        <w:t>行</w:t>
      </w:r>
      <w:r w:rsidRPr="0045498A">
        <w:rPr>
          <w:rFonts w:ascii="宋体" w:hAnsi="宋体"/>
          <w:sz w:val="24"/>
        </w:rPr>
        <w:t>投标人必需自行承担办理的保险；</w:t>
      </w:r>
    </w:p>
    <w:p w14:paraId="6607006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（5）所有需要投标人缴纳的各项费用；</w:t>
      </w:r>
    </w:p>
    <w:p w14:paraId="35A80EE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（6）投标人接受进场时场地条件并自费清理和处理施工场地内杂草及其它杂物使之达到施工条件；</w:t>
      </w:r>
    </w:p>
    <w:p w14:paraId="0B51257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（7）投标人应自备柴油发电机，当现场停电时能及时启动发电机保证施工用电正常；</w:t>
      </w:r>
    </w:p>
    <w:p w14:paraId="4317F74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（8）投标人必须详细了解政府的相关法规，及时、准确提供需进场材料、设备清单和进场时间；</w:t>
      </w:r>
    </w:p>
    <w:p w14:paraId="0975B0C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9）关于场外交通和场内交通边界的约定：以用地红线为界。投标人应自行取得场外交通设施的技术参数和具体条件，应遵守有关交通法规，严格按照道路和桥梁的荷载行驶，执行有关道路限速、限行、禁止超载的规定，并配合交通管理部门的管理和检查。投标人及其分包都应严格执行公共交通规则。由于投标人及其分包违反交通规则规定、残余建筑材料或垃圾遗留在道路上、违章停车等发生的全部罚款都应由投标人承担。</w:t>
      </w:r>
    </w:p>
    <w:p w14:paraId="030BFAF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10）投标人投标时应结合本项目工期充分考虑人员、机械设备的投入数量，确保能满足本项目工期和进度要求，如投标人中标后因自身的原因所投入的人员、机械设备的数量不能满足项目工期、质量、安全的要求，招标人有权根据工期及进度的要求其调整充实力量，并止付工程进度款直至整改完成，如整改无法完成，按违约处理，直至终止合同，投标人不应有异议，也不得因增加投入而索取相应的费用。</w:t>
      </w:r>
    </w:p>
    <w:p w14:paraId="7DA8B24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11）投标人应全权负责其劳务及职员的雇佣、工资的支付、房屋、膳食及运输的安排。投标人在任何时候应采取一切合理的预防措施，以防止其劳务及职员发生任何违法的、妨碍治安的行为，并维护治安和保护工程及个人或财产免遭上述行为的破坏。由于劳务及职员工资问题引起的纠纷或问题，由投标人自行承担。</w:t>
      </w:r>
    </w:p>
    <w:p w14:paraId="4BCCE727"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材料、设备及质量管控</w:t>
      </w:r>
    </w:p>
    <w:p w14:paraId="0ECC8FF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（1）对于材料、设备安装等均要求先行选材及安排现场样板施工，经招标人、监理人确认后方可大面积实施。</w:t>
      </w:r>
    </w:p>
    <w:p w14:paraId="58BBFDE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（2）投标人采购材料设备（包括成品或半成品），在招标文件或合同中招标人约定有</w:t>
      </w:r>
      <w:r w:rsidRPr="0045498A">
        <w:rPr>
          <w:rFonts w:ascii="宋体" w:hAnsi="宋体"/>
          <w:sz w:val="24"/>
        </w:rPr>
        <w:lastRenderedPageBreak/>
        <w:t>品牌、品质的，投标人必须按招标文件或合同中招标人约定的品牌、品质范围进行采购。在投标人进行材料采购前，必须获得招标人认可。投标人提出变更，必须获得招标人书面同意，否则投标人承担一切责任。</w:t>
      </w:r>
    </w:p>
    <w:p w14:paraId="3F08547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（3）投标人采购的材料设备（包括成品及半成品），投标人需要使用代用材料时，其材料设备品牌、品质标准必须等同或高于招标文件</w:t>
      </w:r>
      <w:r w:rsidRPr="0045498A">
        <w:rPr>
          <w:rFonts w:ascii="宋体" w:hAnsi="宋体" w:hint="eastAsia"/>
          <w:sz w:val="24"/>
        </w:rPr>
        <w:t>的</w:t>
      </w:r>
      <w:r w:rsidRPr="0045498A">
        <w:rPr>
          <w:rFonts w:ascii="宋体" w:hAnsi="宋体"/>
          <w:sz w:val="24"/>
        </w:rPr>
        <w:t>标准，并经招标人和监理工程师认可后方可使用，其增加费用，由投标人承担。</w:t>
      </w:r>
    </w:p>
    <w:p w14:paraId="3D9D595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本工程质量等级约定为合格标准，以建设工程质量监督部门备案后的相关结论为准。保证本工程的质量达到约定的质量等级是投标人的责任和义务，如因投标人原因不能达到约定的质量等级，投标人应承担由此给招标人带来的所有损失（含直接损失及招标人因本项目而对他人承担的合同/协议项下的责任等）。</w:t>
      </w:r>
    </w:p>
    <w:p w14:paraId="5879E92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（5）施工质量不达标</w:t>
      </w:r>
    </w:p>
    <w:p w14:paraId="57F14E2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因投标人施工质量达不到招标文件、技术规格书、图纸或规范要求导致后续专业承包</w:t>
      </w:r>
      <w:r w:rsidRPr="0045498A">
        <w:rPr>
          <w:rFonts w:ascii="宋体" w:hAnsi="宋体" w:hint="eastAsia"/>
          <w:sz w:val="24"/>
        </w:rPr>
        <w:t>单位</w:t>
      </w:r>
      <w:r w:rsidRPr="0045498A">
        <w:rPr>
          <w:rFonts w:ascii="宋体" w:hAnsi="宋体"/>
          <w:sz w:val="24"/>
        </w:rPr>
        <w:t>进场进行修复工作的费用由投标人承担；</w:t>
      </w:r>
    </w:p>
    <w:p w14:paraId="5F4F629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（6）由于投标人施工质量原因，出现质量问题，投标人除按要求进行整改外并承担相应责任外，还应向招标人支付违约金。</w:t>
      </w:r>
    </w:p>
    <w:p w14:paraId="038523F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如投标人不按合同条款施工，或违反正常施工程序、施工工艺进行野蛮施工，或施工质量、安全、环保等达不到有关要求，或施工用材料设备不符合规定，招标人、监理人有权勒令投标人暂停施工，投标人必须停工整改，一切责任由投标人负责。</w:t>
      </w:r>
    </w:p>
    <w:p w14:paraId="25C101DD"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安全文明施工</w:t>
      </w:r>
    </w:p>
    <w:p w14:paraId="787133E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（1）投标人全体现场施工人员统一服装，各工种之间安全帽应有区别，全部施工人员</w:t>
      </w:r>
      <w:proofErr w:type="gramStart"/>
      <w:r w:rsidRPr="0045498A">
        <w:rPr>
          <w:rFonts w:ascii="宋体" w:hAnsi="宋体"/>
          <w:sz w:val="24"/>
        </w:rPr>
        <w:t>佩</w:t>
      </w:r>
      <w:proofErr w:type="gramEnd"/>
      <w:r w:rsidRPr="0045498A">
        <w:rPr>
          <w:rFonts w:ascii="宋体" w:hAnsi="宋体"/>
          <w:sz w:val="24"/>
        </w:rPr>
        <w:t>工作牌。</w:t>
      </w:r>
    </w:p>
    <w:p w14:paraId="29E2179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（2）投标人应</w:t>
      </w:r>
      <w:r w:rsidRPr="0045498A">
        <w:rPr>
          <w:rFonts w:ascii="宋体" w:hAnsi="宋体" w:hint="eastAsia"/>
          <w:sz w:val="24"/>
        </w:rPr>
        <w:t>负责</w:t>
      </w:r>
      <w:r w:rsidRPr="0045498A">
        <w:rPr>
          <w:rFonts w:ascii="宋体" w:hAnsi="宋体"/>
          <w:sz w:val="24"/>
        </w:rPr>
        <w:t>对项目建设场地内因雨季导致场地积水的抽水及疏通排水等相关</w:t>
      </w:r>
      <w:r w:rsidRPr="0045498A">
        <w:rPr>
          <w:rFonts w:ascii="宋体" w:hAnsi="宋体" w:hint="eastAsia"/>
          <w:sz w:val="24"/>
        </w:rPr>
        <w:t>内容并承担</w:t>
      </w:r>
      <w:r w:rsidRPr="0045498A">
        <w:rPr>
          <w:rFonts w:ascii="宋体" w:hAnsi="宋体"/>
          <w:sz w:val="24"/>
        </w:rPr>
        <w:t>全部费用</w:t>
      </w:r>
      <w:r w:rsidRPr="0045498A">
        <w:rPr>
          <w:rFonts w:ascii="宋体" w:hAnsi="宋体" w:hint="eastAsia"/>
          <w:sz w:val="24"/>
        </w:rPr>
        <w:t>。</w:t>
      </w:r>
    </w:p>
    <w:p w14:paraId="61AFC58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（3）投标人负责</w:t>
      </w:r>
      <w:proofErr w:type="gramStart"/>
      <w:r w:rsidRPr="0045498A">
        <w:rPr>
          <w:rFonts w:ascii="宋体" w:hAnsi="宋体"/>
          <w:sz w:val="24"/>
        </w:rPr>
        <w:t>全阶段</w:t>
      </w:r>
      <w:proofErr w:type="gramEnd"/>
      <w:r w:rsidRPr="0045498A">
        <w:rPr>
          <w:rFonts w:ascii="宋体" w:hAnsi="宋体"/>
          <w:sz w:val="24"/>
        </w:rPr>
        <w:t>现场安全文明措施及</w:t>
      </w:r>
      <w:proofErr w:type="gramStart"/>
      <w:r w:rsidRPr="0045498A">
        <w:rPr>
          <w:rFonts w:ascii="宋体" w:hAnsi="宋体"/>
          <w:sz w:val="24"/>
        </w:rPr>
        <w:t>全阶段</w:t>
      </w:r>
      <w:proofErr w:type="gramEnd"/>
      <w:r w:rsidRPr="0045498A">
        <w:rPr>
          <w:rFonts w:ascii="宋体" w:hAnsi="宋体"/>
          <w:sz w:val="24"/>
        </w:rPr>
        <w:t>垃圾清运。投标人负责对施工现场划分安全文明责任区，并需得到监理、招标人的确认方可执行。</w:t>
      </w:r>
    </w:p>
    <w:p w14:paraId="2F38FB4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（4）投标人应确保工地现场的安全并保证 24 小时保安值班；提供和维修现场非夜间照明，每天负责现场照明的开通、关闭工作；提供入门闸道及每日进出场人员统计系统，并提供招标人、</w:t>
      </w:r>
      <w:r w:rsidRPr="0045498A">
        <w:rPr>
          <w:rFonts w:ascii="宋体" w:hAnsi="宋体" w:hint="eastAsia"/>
          <w:sz w:val="24"/>
        </w:rPr>
        <w:t>投标人</w:t>
      </w:r>
      <w:r w:rsidRPr="0045498A">
        <w:rPr>
          <w:rFonts w:ascii="宋体" w:hAnsi="宋体"/>
          <w:sz w:val="24"/>
        </w:rPr>
        <w:t>及监理人员出入门证件。</w:t>
      </w:r>
    </w:p>
    <w:p w14:paraId="380C674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（5）投标人对于易燃易爆的材料除应专门妥善保管之外，现场还应配备有足够的消防设施，所有施工人员都应熟悉消防设施的性能和使用方法。</w:t>
      </w:r>
    </w:p>
    <w:p w14:paraId="4EE1CC4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lastRenderedPageBreak/>
        <w:t>（6）投标人要对安全生产用电，采取三级配电两级保护措施，各种电气设备、漏电保护装置、电箱应符合安全要求；施工机械进场时应有合格证，所用施工机（器）具、设备和施工作业的安全措施要按相关规定设置齐全，均应定期检查，并有安全员的检查签字记录；投标人负责对现场所有临电箱变、一级柜的安全保卫工作；负责现场安全防护设施的搭建和拆除。因施工造成施工区外道路的灰土应该及时清扫。</w:t>
      </w:r>
    </w:p>
    <w:p w14:paraId="4766AB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（7）投标人应对安全防护设施在雨季等不利情况下的安全保证措施要按规定设置齐全，均应定期检查，并有安全员的检查签字记录。</w:t>
      </w:r>
    </w:p>
    <w:p w14:paraId="48C70F0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（8）投标人应对特种作业人员应经专业培训并持有效证件上岗；所有进场人员均应进行安全教育；岗前应进行安全交底；所有现场人员应登记</w:t>
      </w:r>
      <w:r w:rsidRPr="0045498A">
        <w:rPr>
          <w:rFonts w:ascii="宋体" w:hAnsi="宋体" w:cs="宋体" w:hint="eastAsia"/>
          <w:sz w:val="24"/>
        </w:rPr>
        <w:t>在册</w:t>
      </w:r>
      <w:r w:rsidRPr="0045498A">
        <w:rPr>
          <w:rFonts w:ascii="宋体" w:hAnsi="宋体"/>
          <w:sz w:val="24"/>
        </w:rPr>
        <w:t>；无关人员不得留置现场；按当地公安机关要求办理临时人员的（暂住证等）相关手续并承担相关费用。</w:t>
      </w:r>
    </w:p>
    <w:p w14:paraId="1797654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9）以上安全保卫措施及相关设施的配置，招标人和监理工程师有权监督，并向投标人提出整改要求。如果由于投标人未能对其负责的上述事项采取各种必要的措施而导致或发生与此有关的人身伤亡、违约扣款、索赔、损失补偿、诉讼费用及其他一切责任由投标人负责。</w:t>
      </w:r>
    </w:p>
    <w:p w14:paraId="2614BB9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10）投标人负责需遵守政府有关部门对施工场地交通、环境保护、污水排放、施工噪音及安全文明生产管理规定，投标人收到中标通知书后积极负责办理完成施工场地交通、施工噪音、环境保护、安全文明施工等相关手续，招标人、监理将积极协调配合手续办理，所需费用全部由投标人承担。</w:t>
      </w:r>
    </w:p>
    <w:p w14:paraId="046E750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11）已竣工工程移交招标人和接管单位前，投标人负责已完工程的所有设备设施相关部门之前的看护及偷盗破损的保护工作，如保护期间发生损坏，投标人须自费予以修复，并不增加合同工期。对施工现场原有的不在本次建设范围内的区域，投标人应注意保护，避免破坏，否则须承担一切相关责任及相关费用；此期间由于投标人管理不善对成品造成的任何损失均由投标人负责。</w:t>
      </w:r>
    </w:p>
    <w:p w14:paraId="1C8CD5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12）在项目实施过程中，投标人应积极采取有效措施，减少对施工现场周边各方面的影响，自行协调好与周边居民、企业及相关部门等的关系，如果产生有关矛盾、纠纷，由投标人负责处理，并按照当地政府现行有关规定，妥善保护施工场地周围目前现存的市政设施及其他公共建筑，其间发生的费用由投标人承担。</w:t>
      </w:r>
    </w:p>
    <w:p w14:paraId="61F6CD8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（13）投标人有责任和义务采用适当的措施最大程度地降低施工过程中产生的施工扰民，以避免因施工（包括夜间施工）所产生施工噪音、震动、光线等扰民因素导致的扰民对工程进展造成影响</w:t>
      </w:r>
      <w:r w:rsidRPr="0045498A">
        <w:rPr>
          <w:rFonts w:ascii="宋体" w:hAnsi="宋体" w:hint="eastAsia"/>
          <w:sz w:val="24"/>
        </w:rPr>
        <w:t>，</w:t>
      </w:r>
      <w:r w:rsidRPr="0045498A">
        <w:rPr>
          <w:rFonts w:ascii="宋体" w:hAnsi="宋体"/>
          <w:sz w:val="24"/>
        </w:rPr>
        <w:t>投标人应承担任何与施工扰民有关的费用。</w:t>
      </w:r>
    </w:p>
    <w:p w14:paraId="54372F8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lastRenderedPageBreak/>
        <w:t>（14）所有施工都不得产生过量噪音和干扰。如果附近现有的工厂（或其它企业）正在运行，投标人应按照招标人的指示，自费采取一切必要的措施，使其施工对于邻近产业招标人的干扰、危险性、不方便条件减至最低程度。投标人也应根据招标人的指示自费增加路障,警告标志等的设置。投标人须</w:t>
      </w:r>
      <w:r w:rsidRPr="0045498A">
        <w:rPr>
          <w:rFonts w:ascii="宋体" w:hAnsi="宋体" w:hint="eastAsia"/>
          <w:sz w:val="24"/>
        </w:rPr>
        <w:t>自行</w:t>
      </w:r>
      <w:r w:rsidRPr="0045498A">
        <w:rPr>
          <w:rFonts w:ascii="宋体" w:hAnsi="宋体"/>
          <w:sz w:val="24"/>
        </w:rPr>
        <w:t>承担由于施工产生的噪音或其它干扰所造成的损坏所引起的一切索赔、诉讼、损害、费用、罚款和开支等有关的责任。</w:t>
      </w:r>
    </w:p>
    <w:p w14:paraId="6427EB98" w14:textId="77777777" w:rsidR="00616558" w:rsidRPr="0045498A" w:rsidRDefault="00000000">
      <w:pPr>
        <w:snapToGrid w:val="0"/>
        <w:spacing w:line="360" w:lineRule="auto"/>
        <w:ind w:firstLineChars="200" w:firstLine="480"/>
        <w:rPr>
          <w:rFonts w:ascii="宋体" w:hAnsi="宋体"/>
          <w:spacing w:val="2"/>
          <w:sz w:val="24"/>
        </w:rPr>
      </w:pPr>
      <w:r w:rsidRPr="0045498A">
        <w:rPr>
          <w:rFonts w:ascii="宋体" w:hAnsi="宋体"/>
          <w:sz w:val="24"/>
        </w:rPr>
        <w:t>（15）在施工、完成工程及保修过程中，投标人所必需的一切操作均不应对公众的便利及公用道路以及通往属于招标人或他人财产的人行道的进入、使用或占有产生不必要或不适当的干扰。如造成损失或破换，由投标人负责修复，发生的一切费用都由投标人自行承担。</w:t>
      </w:r>
    </w:p>
    <w:p w14:paraId="6A8608F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验收及移交</w:t>
      </w:r>
    </w:p>
    <w:p w14:paraId="331321B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（1）在工程完工并签发交工证书时，投标人应从施工现场清除并</w:t>
      </w:r>
      <w:proofErr w:type="gramStart"/>
      <w:r w:rsidRPr="0045498A">
        <w:rPr>
          <w:rFonts w:ascii="宋体" w:hAnsi="宋体"/>
          <w:sz w:val="24"/>
        </w:rPr>
        <w:t>转运走</w:t>
      </w:r>
      <w:proofErr w:type="gramEnd"/>
      <w:r w:rsidRPr="0045498A">
        <w:rPr>
          <w:rFonts w:ascii="宋体" w:hAnsi="宋体"/>
          <w:sz w:val="24"/>
        </w:rPr>
        <w:t>投标人装备、剩余材料、垃圾和各种临时设施（招标人要求保留的除外），并保持整个现场及工程整洁，达到工程师认为合格的使用状态。</w:t>
      </w:r>
    </w:p>
    <w:p w14:paraId="0001E4A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投标人不得以结算未完成或工程款未支付等其他原因不按监理人及招标人的要求时间退场，如果投标人未在招标人或监理工程师允许的合理时间内把规定的所有投标人装备、剩余材料、垃圾及各种临时设施运走，则招标人可以：</w:t>
      </w:r>
    </w:p>
    <w:p w14:paraId="63AD3C0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①</w:t>
      </w:r>
      <w:r w:rsidRPr="0045498A">
        <w:rPr>
          <w:rFonts w:ascii="宋体" w:hAnsi="宋体"/>
          <w:sz w:val="24"/>
        </w:rPr>
        <w:t>委托他人将投标人的装备、剩余材料及投标人的其他财产转移至其他地方存放；</w:t>
      </w:r>
    </w:p>
    <w:p w14:paraId="07E480D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②</w:t>
      </w:r>
      <w:r w:rsidRPr="0045498A">
        <w:rPr>
          <w:rFonts w:ascii="宋体" w:hAnsi="宋体"/>
          <w:sz w:val="24"/>
        </w:rPr>
        <w:t>委托第三方清除并运走垃圾、废料。</w:t>
      </w:r>
    </w:p>
    <w:p w14:paraId="64302E9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因上述工作造成投标人财产损失的，招标人概不负责，因上述工作而发生的费用由投标人</w:t>
      </w:r>
      <w:r w:rsidRPr="0045498A">
        <w:rPr>
          <w:rFonts w:ascii="宋体" w:hAnsi="宋体" w:hint="eastAsia"/>
          <w:sz w:val="24"/>
        </w:rPr>
        <w:t>承担</w:t>
      </w:r>
      <w:r w:rsidRPr="0045498A">
        <w:rPr>
          <w:rFonts w:ascii="宋体" w:hAnsi="宋体"/>
          <w:sz w:val="24"/>
        </w:rPr>
        <w:t>，招标人可从应付投标人的任何款项内扣除，若不足扣除时，招标人可</w:t>
      </w:r>
      <w:r w:rsidRPr="0045498A">
        <w:rPr>
          <w:rFonts w:ascii="宋体" w:hAnsi="宋体" w:hint="eastAsia"/>
          <w:sz w:val="24"/>
        </w:rPr>
        <w:t>低</w:t>
      </w:r>
      <w:r w:rsidRPr="0045498A">
        <w:rPr>
          <w:rFonts w:ascii="宋体" w:hAnsi="宋体"/>
          <w:sz w:val="24"/>
        </w:rPr>
        <w:t>价处理投标人的财产用以抵扣，或由招标人依照合同和法律从投标人处收回该款项。</w:t>
      </w:r>
    </w:p>
    <w:p w14:paraId="2779542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（3）投标人应积极配合招标人造价咨询机构</w:t>
      </w:r>
      <w:r w:rsidRPr="0045498A">
        <w:rPr>
          <w:rFonts w:ascii="宋体" w:hAnsi="宋体" w:hint="eastAsia"/>
          <w:sz w:val="24"/>
        </w:rPr>
        <w:t>的</w:t>
      </w:r>
      <w:r w:rsidRPr="0045498A">
        <w:rPr>
          <w:rFonts w:ascii="宋体" w:hAnsi="宋体"/>
          <w:sz w:val="24"/>
        </w:rPr>
        <w:t>核实工作，结算资料按有关主管部门要求提供齐全，因提供的资料不全或者资料的手续不合规定，导致结算延误和投标人损失的，由投标人承担。若给招标人造成损失的，投标人负全部责任。</w:t>
      </w:r>
    </w:p>
    <w:p w14:paraId="749EB741"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云监工</w:t>
      </w:r>
    </w:p>
    <w:p w14:paraId="07E93D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借助</w:t>
      </w:r>
      <w:proofErr w:type="gramStart"/>
      <w:r w:rsidRPr="0045498A">
        <w:rPr>
          <w:rFonts w:ascii="宋体" w:hAnsi="宋体" w:hint="eastAsia"/>
          <w:sz w:val="24"/>
        </w:rPr>
        <w:t>云计算</w:t>
      </w:r>
      <w:proofErr w:type="gramEnd"/>
      <w:r w:rsidRPr="0045498A">
        <w:rPr>
          <w:rFonts w:ascii="宋体" w:hAnsi="宋体" w:hint="eastAsia"/>
          <w:sz w:val="24"/>
        </w:rPr>
        <w:t>和图像可视化等技术，从人员、进度、工地全景、现场资源把控等方面，实现建设项目的云端信息汇总和工程进度在线监控。</w:t>
      </w:r>
    </w:p>
    <w:p w14:paraId="19E1F3E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（1）人员信息上报</w:t>
      </w:r>
    </w:p>
    <w:p w14:paraId="0C57274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利用实名制管理平台和</w:t>
      </w:r>
      <w:proofErr w:type="gramStart"/>
      <w:r w:rsidRPr="0045498A">
        <w:rPr>
          <w:rFonts w:ascii="宋体" w:hAnsi="宋体" w:hint="eastAsia"/>
          <w:sz w:val="24"/>
        </w:rPr>
        <w:t>云计算</w:t>
      </w:r>
      <w:proofErr w:type="gramEnd"/>
      <w:r w:rsidRPr="0045498A">
        <w:rPr>
          <w:rFonts w:ascii="宋体" w:hAnsi="宋体" w:hint="eastAsia"/>
          <w:sz w:val="24"/>
        </w:rPr>
        <w:t>平台，自动上报进入工地现场的施工人员信息，包括人员数量、人员信息、进出场时间、考勤信息等。</w:t>
      </w:r>
    </w:p>
    <w:p w14:paraId="068AD5B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（2）工程进度实时追踪</w:t>
      </w:r>
    </w:p>
    <w:p w14:paraId="173692A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通过项目管理平台和</w:t>
      </w:r>
      <w:proofErr w:type="gramStart"/>
      <w:r w:rsidRPr="0045498A">
        <w:rPr>
          <w:rFonts w:ascii="宋体" w:hAnsi="宋体" w:hint="eastAsia"/>
          <w:sz w:val="24"/>
        </w:rPr>
        <w:t>云计算</w:t>
      </w:r>
      <w:proofErr w:type="gramEnd"/>
      <w:r w:rsidRPr="0045498A">
        <w:rPr>
          <w:rFonts w:ascii="宋体" w:hAnsi="宋体" w:hint="eastAsia"/>
          <w:sz w:val="24"/>
        </w:rPr>
        <w:t>平台，进行进度计划的上报、查看、追踪，可远程实时查看进度计划及执行情况。</w:t>
      </w:r>
    </w:p>
    <w:p w14:paraId="23A5904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（3）远程视频监控</w:t>
      </w:r>
    </w:p>
    <w:p w14:paraId="219BB0D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通过现场视频监控设备及云平台，对施工现场的生产进度、安全文明施工等进行远程监控，实现对项目现场总体情况鸟瞰及细节查看，实时监控项目现场情况。</w:t>
      </w:r>
    </w:p>
    <w:p w14:paraId="6CDB9D17" w14:textId="77777777" w:rsidR="00616558" w:rsidRPr="0045498A" w:rsidRDefault="00616558">
      <w:pPr>
        <w:pStyle w:val="a1"/>
        <w:spacing w:after="0" w:line="360" w:lineRule="auto"/>
        <w:ind w:right="155" w:firstLine="480"/>
        <w:rPr>
          <w:rFonts w:ascii="宋体" w:eastAsia="宋体" w:hAnsi="宋体"/>
          <w:spacing w:val="2"/>
          <w:sz w:val="24"/>
        </w:rPr>
      </w:pPr>
    </w:p>
    <w:p w14:paraId="402660A9" w14:textId="2BE36860" w:rsidR="00616558" w:rsidRPr="0045498A" w:rsidRDefault="00DA5A03">
      <w:pPr>
        <w:pStyle w:val="2"/>
        <w:spacing w:before="0" w:after="0"/>
        <w:rPr>
          <w:rFonts w:ascii="宋体" w:hAnsi="宋体"/>
          <w:color w:val="auto"/>
          <w:sz w:val="24"/>
          <w:szCs w:val="24"/>
        </w:rPr>
      </w:pPr>
      <w:bookmarkStart w:id="15" w:name="_Toc70690174"/>
      <w:r w:rsidRPr="0045498A">
        <w:rPr>
          <w:rFonts w:ascii="宋体" w:hAnsi="宋体" w:hint="eastAsia"/>
          <w:color w:val="auto"/>
          <w:sz w:val="24"/>
          <w:szCs w:val="24"/>
        </w:rPr>
        <w:t>不定期高</w:t>
      </w:r>
      <w:proofErr w:type="gramStart"/>
      <w:r w:rsidRPr="0045498A">
        <w:rPr>
          <w:rFonts w:ascii="宋体" w:hAnsi="宋体" w:hint="eastAsia"/>
          <w:color w:val="auto"/>
          <w:sz w:val="24"/>
          <w:szCs w:val="24"/>
        </w:rPr>
        <w:t>清正射图输出</w:t>
      </w:r>
      <w:proofErr w:type="gramEnd"/>
      <w:r w:rsidRPr="0045498A">
        <w:rPr>
          <w:rFonts w:ascii="宋体" w:hAnsi="宋体" w:hint="eastAsia"/>
          <w:color w:val="auto"/>
          <w:sz w:val="24"/>
          <w:szCs w:val="24"/>
        </w:rPr>
        <w:t>及高清摄像服务</w:t>
      </w:r>
      <w:bookmarkEnd w:id="15"/>
      <w:r w:rsidRPr="0045498A">
        <w:rPr>
          <w:rFonts w:ascii="宋体" w:hAnsi="宋体" w:hint="eastAsia"/>
          <w:color w:val="auto"/>
          <w:sz w:val="24"/>
          <w:szCs w:val="24"/>
        </w:rPr>
        <w:t xml:space="preserve"> </w:t>
      </w:r>
    </w:p>
    <w:p w14:paraId="1B56FD0D" w14:textId="77777777" w:rsidR="00616558" w:rsidRPr="0045498A" w:rsidRDefault="00000000">
      <w:pPr>
        <w:pStyle w:val="afff2"/>
        <w:numPr>
          <w:ilvl w:val="0"/>
          <w:numId w:val="13"/>
        </w:numPr>
        <w:snapToGrid w:val="0"/>
        <w:spacing w:line="360" w:lineRule="auto"/>
        <w:ind w:firstLineChars="0"/>
        <w:rPr>
          <w:rFonts w:ascii="宋体" w:hAnsi="宋体"/>
          <w:sz w:val="24"/>
        </w:rPr>
      </w:pPr>
      <w:r w:rsidRPr="0045498A">
        <w:rPr>
          <w:rFonts w:ascii="宋体" w:hAnsi="宋体" w:hint="eastAsia"/>
          <w:sz w:val="24"/>
        </w:rPr>
        <w:t>高</w:t>
      </w:r>
      <w:proofErr w:type="gramStart"/>
      <w:r w:rsidRPr="0045498A">
        <w:rPr>
          <w:rFonts w:ascii="宋体" w:hAnsi="宋体" w:hint="eastAsia"/>
          <w:sz w:val="24"/>
        </w:rPr>
        <w:t>清正射图输出</w:t>
      </w:r>
      <w:proofErr w:type="gramEnd"/>
    </w:p>
    <w:p w14:paraId="7336A46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制作数字正射影像图，整体呈现关键时间节点如奠基，浇筑封顶等里程碑，土建项目施工现场全貌等。</w:t>
      </w:r>
    </w:p>
    <w:p w14:paraId="124DE49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该方案输出物为施工现场的数字正射影像图，在建设的里程碑（如场地平整、基坑开挖等）进行广角高清，高空采集高清影像信息，拼接处理后输出正射图。</w:t>
      </w:r>
    </w:p>
    <w:p w14:paraId="5147B20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输出物需满足《GB/T 33175-2016国家基本比例尺地图 1:500 1；1000 1:2000正射影像地图》标准，地面分辨率不低于0.1米精度，范围需涵盖基地及其周边环境不小于0.5平方公里。高清图不少于24张次。</w:t>
      </w:r>
    </w:p>
    <w:p w14:paraId="468668D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（二）高清摄像服务</w:t>
      </w:r>
    </w:p>
    <w:p w14:paraId="2D713BA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重要交流场合下，配合完成宣传支撑服务工作，拍摄并剪辑输出适宜转发的高清影像记录。</w:t>
      </w:r>
    </w:p>
    <w:p w14:paraId="58B76D85" w14:textId="77777777" w:rsidR="00616558" w:rsidRPr="0045498A" w:rsidRDefault="00000000">
      <w:pPr>
        <w:snapToGrid w:val="0"/>
        <w:spacing w:line="360" w:lineRule="auto"/>
        <w:ind w:firstLineChars="200" w:firstLine="480"/>
        <w:rPr>
          <w:rFonts w:ascii="宋体" w:hAnsi="宋体"/>
          <w:spacing w:val="2"/>
          <w:sz w:val="24"/>
        </w:rPr>
        <w:sectPr w:rsidR="00616558" w:rsidRPr="0045498A">
          <w:footerReference w:type="default" r:id="rId9"/>
          <w:pgSz w:w="11910" w:h="16840"/>
          <w:pgMar w:top="1360" w:right="1300" w:bottom="1180" w:left="1300" w:header="0" w:footer="995" w:gutter="0"/>
          <w:cols w:space="720"/>
        </w:sectPr>
      </w:pPr>
      <w:r w:rsidRPr="0045498A">
        <w:rPr>
          <w:rFonts w:ascii="宋体" w:hAnsi="宋体" w:hint="eastAsia"/>
          <w:sz w:val="24"/>
        </w:rPr>
        <w:t>该方案输出物为广角高清短视频，通过后期剪辑，利用广角高清的素材剪辑为适宜分享的短视频，配合完成宣传支撑工作，高清摄像不少于18次。</w:t>
      </w:r>
      <w:r w:rsidRPr="0045498A">
        <w:rPr>
          <w:rFonts w:hint="eastAsia"/>
          <w:sz w:val="24"/>
        </w:rPr>
        <w:t xml:space="preserve">    </w:t>
      </w:r>
    </w:p>
    <w:p w14:paraId="0FF177DD" w14:textId="77777777" w:rsidR="00616558" w:rsidRPr="0045498A" w:rsidRDefault="00000000" w:rsidP="00FC4798">
      <w:pPr>
        <w:pStyle w:val="10"/>
        <w:spacing w:before="0" w:after="0" w:line="360" w:lineRule="auto"/>
        <w:ind w:left="425"/>
        <w:rPr>
          <w:rFonts w:ascii="宋体" w:eastAsia="宋体" w:hAnsi="宋体"/>
          <w:sz w:val="24"/>
          <w:szCs w:val="24"/>
        </w:rPr>
      </w:pPr>
      <w:r w:rsidRPr="0045498A">
        <w:rPr>
          <w:rFonts w:ascii="宋体" w:eastAsia="宋体" w:hAnsi="宋体"/>
          <w:sz w:val="24"/>
          <w:szCs w:val="24"/>
        </w:rPr>
        <w:lastRenderedPageBreak/>
        <w:t>.</w:t>
      </w:r>
      <w:r w:rsidRPr="0045498A">
        <w:rPr>
          <w:rFonts w:ascii="宋体" w:eastAsia="宋体" w:hAnsi="宋体" w:hint="eastAsia"/>
          <w:sz w:val="24"/>
          <w:szCs w:val="24"/>
        </w:rPr>
        <w:t>B</w:t>
      </w:r>
      <w:r w:rsidRPr="0045498A">
        <w:rPr>
          <w:rFonts w:ascii="宋体" w:eastAsia="宋体" w:hAnsi="宋体"/>
          <w:sz w:val="24"/>
          <w:szCs w:val="24"/>
        </w:rPr>
        <w:t>IM</w:t>
      </w:r>
      <w:r w:rsidRPr="0045498A">
        <w:rPr>
          <w:rFonts w:ascii="宋体" w:eastAsia="宋体" w:hAnsi="宋体" w:hint="eastAsia"/>
          <w:sz w:val="24"/>
          <w:szCs w:val="24"/>
        </w:rPr>
        <w:t>要求</w:t>
      </w:r>
    </w:p>
    <w:p w14:paraId="3D900605" w14:textId="77777777" w:rsidR="00616558" w:rsidRPr="0045498A" w:rsidRDefault="00000000">
      <w:pPr>
        <w:pStyle w:val="2"/>
        <w:spacing w:before="0" w:after="0"/>
        <w:rPr>
          <w:rFonts w:ascii="宋体" w:hAnsi="宋体"/>
          <w:color w:val="auto"/>
          <w:sz w:val="24"/>
          <w:szCs w:val="24"/>
        </w:rPr>
      </w:pPr>
      <w:r w:rsidRPr="0045498A">
        <w:rPr>
          <w:rFonts w:ascii="宋体" w:hAnsi="宋体"/>
          <w:color w:val="auto"/>
          <w:sz w:val="24"/>
          <w:szCs w:val="24"/>
        </w:rPr>
        <w:t>BIM</w:t>
      </w:r>
      <w:r w:rsidRPr="0045498A">
        <w:rPr>
          <w:rFonts w:ascii="宋体" w:hAnsi="宋体" w:hint="eastAsia"/>
          <w:color w:val="auto"/>
          <w:sz w:val="24"/>
          <w:szCs w:val="24"/>
        </w:rPr>
        <w:t>工作范围和阶段划分</w:t>
      </w:r>
    </w:p>
    <w:p w14:paraId="5943B226" w14:textId="0B8F219C" w:rsidR="00616558" w:rsidRPr="0045498A" w:rsidRDefault="00000000">
      <w:pPr>
        <w:snapToGrid w:val="0"/>
        <w:spacing w:line="360" w:lineRule="auto"/>
        <w:ind w:firstLineChars="200" w:firstLine="480"/>
        <w:rPr>
          <w:rFonts w:ascii="宋体" w:hAnsi="宋体"/>
          <w:b/>
          <w:bCs/>
          <w:sz w:val="24"/>
        </w:rPr>
      </w:pPr>
      <w:r w:rsidRPr="0045498A">
        <w:rPr>
          <w:rFonts w:ascii="宋体" w:hAnsi="宋体" w:hint="eastAsia"/>
          <w:sz w:val="24"/>
        </w:rPr>
        <w:t>投标人在本项目中的</w:t>
      </w:r>
      <w:r w:rsidRPr="0045498A">
        <w:rPr>
          <w:rFonts w:ascii="宋体" w:hAnsi="宋体"/>
          <w:sz w:val="24"/>
        </w:rPr>
        <w:t>BIM</w:t>
      </w:r>
      <w:r w:rsidRPr="0045498A">
        <w:rPr>
          <w:rFonts w:ascii="宋体" w:hAnsi="宋体" w:hint="eastAsia"/>
          <w:sz w:val="24"/>
        </w:rPr>
        <w:t>工作范围与招标文件中的工程建设范围一致，提供包括但不限于以下服务内容：制定</w:t>
      </w:r>
      <w:r w:rsidRPr="0045498A">
        <w:rPr>
          <w:rFonts w:ascii="宋体" w:hAnsi="宋体"/>
          <w:sz w:val="24"/>
        </w:rPr>
        <w:t>BIM</w:t>
      </w:r>
      <w:r w:rsidRPr="0045498A">
        <w:rPr>
          <w:rFonts w:ascii="宋体" w:hAnsi="宋体" w:hint="eastAsia"/>
          <w:sz w:val="24"/>
        </w:rPr>
        <w:t>实施方案（包括设计阶段BIM、施工阶段BIM、竣工阶段B</w:t>
      </w:r>
      <w:r w:rsidRPr="0045498A">
        <w:rPr>
          <w:rFonts w:ascii="宋体" w:hAnsi="宋体"/>
          <w:sz w:val="24"/>
        </w:rPr>
        <w:t>IM</w:t>
      </w:r>
      <w:r w:rsidRPr="0045498A">
        <w:rPr>
          <w:rFonts w:ascii="宋体" w:hAnsi="宋体" w:hint="eastAsia"/>
          <w:sz w:val="24"/>
        </w:rPr>
        <w:t>和B</w:t>
      </w:r>
      <w:r w:rsidRPr="0045498A">
        <w:rPr>
          <w:rFonts w:ascii="宋体" w:hAnsi="宋体"/>
          <w:sz w:val="24"/>
        </w:rPr>
        <w:t>IM</w:t>
      </w:r>
      <w:r w:rsidRPr="0045498A">
        <w:rPr>
          <w:rFonts w:ascii="宋体" w:hAnsi="宋体" w:hint="eastAsia"/>
          <w:sz w:val="24"/>
        </w:rPr>
        <w:t>协同平台实施方案），严格按照</w:t>
      </w:r>
      <w:r w:rsidRPr="0045498A">
        <w:rPr>
          <w:rFonts w:ascii="宋体" w:hAnsi="宋体"/>
          <w:sz w:val="24"/>
        </w:rPr>
        <w:t>BIM</w:t>
      </w:r>
      <w:r w:rsidRPr="0045498A">
        <w:rPr>
          <w:rFonts w:ascii="宋体" w:hAnsi="宋体" w:hint="eastAsia"/>
          <w:sz w:val="24"/>
        </w:rPr>
        <w:t>实施方案开展</w:t>
      </w:r>
      <w:r w:rsidRPr="0045498A">
        <w:rPr>
          <w:rFonts w:ascii="宋体" w:hAnsi="宋体"/>
          <w:sz w:val="24"/>
        </w:rPr>
        <w:t>BIM</w:t>
      </w:r>
      <w:r w:rsidRPr="0045498A">
        <w:rPr>
          <w:rFonts w:ascii="宋体" w:hAnsi="宋体" w:hint="eastAsia"/>
          <w:sz w:val="24"/>
        </w:rPr>
        <w:t>应用；创建与工程建设范围一致的不同阶段的BIM模型；利用BIM模型开展</w:t>
      </w:r>
      <w:r w:rsidRPr="0045498A">
        <w:rPr>
          <w:rFonts w:ascii="宋体" w:hAnsi="宋体"/>
          <w:sz w:val="24"/>
        </w:rPr>
        <w:t>BIM</w:t>
      </w:r>
      <w:r w:rsidRPr="0045498A">
        <w:rPr>
          <w:rFonts w:ascii="宋体" w:hAnsi="宋体" w:hint="eastAsia"/>
          <w:sz w:val="24"/>
        </w:rPr>
        <w:t>应用，优化工程建设方案、解决工地现场实际问题、减少现场签证和变更、提高工程建设质量、节约工程建设成本、缩短工程建设工期；接受招标人及其委托的第三方（监理、</w:t>
      </w:r>
      <w:r w:rsidRPr="0045498A">
        <w:rPr>
          <w:rFonts w:ascii="宋体" w:hAnsi="宋体"/>
          <w:sz w:val="24"/>
        </w:rPr>
        <w:t>BIM</w:t>
      </w:r>
      <w:r w:rsidRPr="0045498A">
        <w:rPr>
          <w:rFonts w:ascii="宋体" w:hAnsi="宋体" w:hint="eastAsia"/>
          <w:sz w:val="24"/>
        </w:rPr>
        <w:t>咨询单位等）对投标人的</w:t>
      </w:r>
      <w:r w:rsidRPr="0045498A">
        <w:rPr>
          <w:rFonts w:ascii="宋体" w:hAnsi="宋体"/>
          <w:sz w:val="24"/>
        </w:rPr>
        <w:t>BIM</w:t>
      </w:r>
      <w:r w:rsidRPr="0045498A">
        <w:rPr>
          <w:rFonts w:ascii="宋体" w:hAnsi="宋体" w:hint="eastAsia"/>
          <w:sz w:val="24"/>
        </w:rPr>
        <w:t>应用成果审查。并为招标人提供基于 BIM 的项目施工文件管理，将竣工资料及相关设备资料录入建筑信息模型，以方便后续运</w:t>
      </w:r>
      <w:proofErr w:type="gramStart"/>
      <w:r w:rsidRPr="0045498A">
        <w:rPr>
          <w:rFonts w:ascii="宋体" w:hAnsi="宋体" w:hint="eastAsia"/>
          <w:sz w:val="24"/>
        </w:rPr>
        <w:t>维单位</w:t>
      </w:r>
      <w:proofErr w:type="gramEnd"/>
      <w:r w:rsidRPr="0045498A">
        <w:rPr>
          <w:rFonts w:ascii="宋体" w:hAnsi="宋体" w:hint="eastAsia"/>
          <w:sz w:val="24"/>
        </w:rPr>
        <w:t>的维护管理。基于BIM 协同工作要求进行 BIM 共享平台的建设，实现项目管理各个环节之间的信息共享和协同作业，建立支撑工程信息共享的BIM信息交换接口，实现 BIM 模型的导入、系统内模型数据的整合、模型及信息的导出、模型与信息的交互浏览等。</w:t>
      </w:r>
      <w:r w:rsidR="00B47696" w:rsidRPr="0045498A">
        <w:rPr>
          <w:rFonts w:ascii="宋体" w:hAnsi="宋体" w:hint="eastAsia"/>
          <w:b/>
          <w:bCs/>
          <w:sz w:val="24"/>
        </w:rPr>
        <w:t>本项目的BIM成果文件须满足及支持后期机电项目在特定机房进行正向设计的需求。</w:t>
      </w:r>
    </w:p>
    <w:p w14:paraId="15164ED3" w14:textId="77777777" w:rsidR="00616558" w:rsidRPr="0045498A" w:rsidRDefault="00000000">
      <w:pPr>
        <w:pStyle w:val="2"/>
        <w:spacing w:before="0" w:after="0"/>
        <w:rPr>
          <w:rFonts w:ascii="宋体" w:hAnsi="宋体"/>
          <w:color w:val="auto"/>
          <w:sz w:val="24"/>
          <w:szCs w:val="24"/>
        </w:rPr>
      </w:pPr>
      <w:bookmarkStart w:id="16" w:name="2_BIM实施执行依据"/>
      <w:bookmarkEnd w:id="16"/>
      <w:r w:rsidRPr="0045498A">
        <w:rPr>
          <w:rFonts w:ascii="宋体" w:hAnsi="宋体"/>
          <w:color w:val="auto"/>
          <w:sz w:val="24"/>
          <w:szCs w:val="24"/>
        </w:rPr>
        <w:t>BIM</w:t>
      </w:r>
      <w:r w:rsidRPr="0045498A">
        <w:rPr>
          <w:rFonts w:ascii="宋体" w:hAnsi="宋体" w:hint="eastAsia"/>
          <w:color w:val="auto"/>
          <w:sz w:val="24"/>
          <w:szCs w:val="24"/>
        </w:rPr>
        <w:t>实施执行依据</w:t>
      </w:r>
    </w:p>
    <w:p w14:paraId="13DAA12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1</w:t>
      </w:r>
      <w:r w:rsidRPr="0045498A">
        <w:rPr>
          <w:rFonts w:ascii="宋体" w:hAnsi="宋体" w:hint="eastAsia"/>
          <w:sz w:val="24"/>
        </w:rPr>
        <w:t>）《建筑工程设计信息模型制图标准》（</w:t>
      </w:r>
      <w:r w:rsidRPr="0045498A">
        <w:rPr>
          <w:rFonts w:ascii="宋体" w:hAnsi="宋体"/>
          <w:sz w:val="24"/>
        </w:rPr>
        <w:t>JGJT 448-2018</w:t>
      </w:r>
      <w:r w:rsidRPr="0045498A">
        <w:rPr>
          <w:rFonts w:ascii="宋体" w:hAnsi="宋体" w:hint="eastAsia"/>
          <w:sz w:val="24"/>
        </w:rPr>
        <w:t>）；</w:t>
      </w:r>
    </w:p>
    <w:p w14:paraId="456577B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2</w:t>
      </w:r>
      <w:r w:rsidRPr="0045498A">
        <w:rPr>
          <w:rFonts w:ascii="宋体" w:hAnsi="宋体" w:hint="eastAsia"/>
          <w:sz w:val="24"/>
        </w:rPr>
        <w:t>）《建筑信息模型设计交付标准》（</w:t>
      </w:r>
      <w:r w:rsidRPr="0045498A">
        <w:rPr>
          <w:rFonts w:ascii="宋体" w:hAnsi="宋体"/>
          <w:sz w:val="24"/>
        </w:rPr>
        <w:t>GB/T 51301-2018</w:t>
      </w:r>
      <w:r w:rsidRPr="0045498A">
        <w:rPr>
          <w:rFonts w:ascii="宋体" w:hAnsi="宋体" w:hint="eastAsia"/>
          <w:sz w:val="24"/>
        </w:rPr>
        <w:t>）；</w:t>
      </w:r>
    </w:p>
    <w:p w14:paraId="60AD73F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3</w:t>
      </w:r>
      <w:r w:rsidRPr="0045498A">
        <w:rPr>
          <w:rFonts w:ascii="宋体" w:hAnsi="宋体" w:hint="eastAsia"/>
          <w:sz w:val="24"/>
        </w:rPr>
        <w:t>）《建筑信息模型施工应用标准》（</w:t>
      </w:r>
      <w:r w:rsidRPr="0045498A">
        <w:rPr>
          <w:rFonts w:ascii="宋体" w:hAnsi="宋体"/>
          <w:sz w:val="24"/>
        </w:rPr>
        <w:t>GB/T 51235-2017</w:t>
      </w:r>
      <w:r w:rsidRPr="0045498A">
        <w:rPr>
          <w:rFonts w:ascii="宋体" w:hAnsi="宋体" w:hint="eastAsia"/>
          <w:sz w:val="24"/>
        </w:rPr>
        <w:t>）；</w:t>
      </w:r>
    </w:p>
    <w:p w14:paraId="7946296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（4）《广东省建筑信息模型应用统一标准》（</w:t>
      </w:r>
      <w:r w:rsidRPr="0045498A">
        <w:rPr>
          <w:rFonts w:ascii="宋体" w:hAnsi="宋体"/>
          <w:sz w:val="24"/>
        </w:rPr>
        <w:t>DBJ/T 15</w:t>
      </w:r>
      <w:r w:rsidRPr="0045498A">
        <w:rPr>
          <w:rFonts w:ascii="宋体" w:hAnsi="宋体" w:hint="eastAsia"/>
          <w:sz w:val="24"/>
        </w:rPr>
        <w:t>-</w:t>
      </w:r>
      <w:r w:rsidRPr="0045498A">
        <w:rPr>
          <w:rFonts w:ascii="宋体" w:hAnsi="宋体"/>
          <w:sz w:val="24"/>
        </w:rPr>
        <w:t>142-2018</w:t>
      </w:r>
      <w:r w:rsidRPr="0045498A">
        <w:rPr>
          <w:rFonts w:ascii="宋体" w:hAnsi="宋体" w:hint="eastAsia"/>
          <w:sz w:val="24"/>
        </w:rPr>
        <w:t>）；</w:t>
      </w:r>
    </w:p>
    <w:p w14:paraId="13AE9B5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5</w:t>
      </w:r>
      <w:r w:rsidRPr="0045498A">
        <w:rPr>
          <w:rFonts w:ascii="宋体" w:hAnsi="宋体" w:hint="eastAsia"/>
          <w:sz w:val="24"/>
        </w:rPr>
        <w:t>） 招标人提出的其他依据。</w:t>
      </w:r>
    </w:p>
    <w:p w14:paraId="2C898968"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工作内容及要求</w:t>
      </w:r>
    </w:p>
    <w:p w14:paraId="336934D9"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工作内容</w:t>
      </w:r>
    </w:p>
    <w:p w14:paraId="661D290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w:t>
      </w:r>
      <w:r w:rsidRPr="0045498A">
        <w:rPr>
          <w:rFonts w:ascii="宋体" w:hAnsi="宋体" w:hint="eastAsia"/>
          <w:sz w:val="24"/>
        </w:rPr>
        <w:t>、本期工程应引入B</w:t>
      </w:r>
      <w:r w:rsidRPr="0045498A">
        <w:rPr>
          <w:rFonts w:ascii="宋体" w:hAnsi="宋体"/>
          <w:sz w:val="24"/>
        </w:rPr>
        <w:t>IM</w:t>
      </w:r>
      <w:r w:rsidRPr="0045498A">
        <w:rPr>
          <w:rFonts w:ascii="宋体" w:hAnsi="宋体" w:hint="eastAsia"/>
          <w:sz w:val="24"/>
        </w:rPr>
        <w:t>应用技术，减少项目“错、漏、碰、缺”的问题，投标人应配合招标人实现BIM技术有效应用以及与项目建设和管理过程中协同作业和分析模拟，提高工程性能、质量、进度和成本管理等控制水平。</w:t>
      </w:r>
    </w:p>
    <w:p w14:paraId="07BC7E6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2、投标人须接受招标人及其委托的第三方（监理、</w:t>
      </w:r>
      <w:r w:rsidRPr="0045498A">
        <w:rPr>
          <w:rFonts w:ascii="宋体" w:hAnsi="宋体"/>
          <w:sz w:val="24"/>
        </w:rPr>
        <w:t>BIM</w:t>
      </w:r>
      <w:r w:rsidRPr="0045498A">
        <w:rPr>
          <w:rFonts w:ascii="宋体" w:hAnsi="宋体" w:hint="eastAsia"/>
          <w:sz w:val="24"/>
        </w:rPr>
        <w:t>咨询单位等）的管理，</w:t>
      </w:r>
      <w:r w:rsidRPr="0045498A">
        <w:rPr>
          <w:rFonts w:ascii="宋体" w:hAnsi="宋体"/>
          <w:sz w:val="24"/>
        </w:rPr>
        <w:t xml:space="preserve">BIM </w:t>
      </w:r>
      <w:r w:rsidRPr="0045498A">
        <w:rPr>
          <w:rFonts w:ascii="宋体" w:hAnsi="宋体" w:hint="eastAsia"/>
          <w:sz w:val="24"/>
        </w:rPr>
        <w:t>实施成果须经招标人及其委托的第三方（监理、</w:t>
      </w:r>
      <w:r w:rsidRPr="0045498A">
        <w:rPr>
          <w:rFonts w:ascii="宋体" w:hAnsi="宋体"/>
          <w:sz w:val="24"/>
        </w:rPr>
        <w:t>BIM</w:t>
      </w:r>
      <w:r w:rsidRPr="0045498A">
        <w:rPr>
          <w:rFonts w:ascii="宋体" w:hAnsi="宋体" w:hint="eastAsia"/>
          <w:sz w:val="24"/>
        </w:rPr>
        <w:t>咨询单位等）的审查，并在规定时限内完成审查意见修改。</w:t>
      </w:r>
      <w:r w:rsidRPr="0045498A">
        <w:rPr>
          <w:rFonts w:ascii="宋体" w:hAnsi="宋体"/>
          <w:sz w:val="24"/>
        </w:rPr>
        <w:t xml:space="preserve">BIM </w:t>
      </w:r>
      <w:r w:rsidRPr="0045498A">
        <w:rPr>
          <w:rFonts w:ascii="宋体" w:hAnsi="宋体" w:hint="eastAsia"/>
          <w:sz w:val="24"/>
        </w:rPr>
        <w:t>实施的质量和进度作为招标人支付工程进度款的依据，</w:t>
      </w:r>
      <w:r w:rsidRPr="0045498A">
        <w:rPr>
          <w:rFonts w:ascii="宋体" w:hAnsi="宋体"/>
          <w:sz w:val="24"/>
        </w:rPr>
        <w:t xml:space="preserve">BIM </w:t>
      </w:r>
      <w:r w:rsidRPr="0045498A">
        <w:rPr>
          <w:rFonts w:ascii="宋体" w:hAnsi="宋体" w:hint="eastAsia"/>
          <w:sz w:val="24"/>
        </w:rPr>
        <w:t>实施的质量和进度不满足招标人的要求时，招标人有权扣除相应的</w:t>
      </w:r>
      <w:r w:rsidRPr="0045498A">
        <w:rPr>
          <w:rFonts w:ascii="宋体" w:hAnsi="宋体"/>
          <w:sz w:val="24"/>
        </w:rPr>
        <w:t xml:space="preserve"> BIM </w:t>
      </w:r>
      <w:r w:rsidRPr="0045498A">
        <w:rPr>
          <w:rFonts w:ascii="宋体" w:hAnsi="宋体" w:hint="eastAsia"/>
          <w:sz w:val="24"/>
        </w:rPr>
        <w:t>实施款项。</w:t>
      </w:r>
    </w:p>
    <w:p w14:paraId="65496B5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3、投标人有义务配合招标人及其委托的第三方（监理、</w:t>
      </w:r>
      <w:r w:rsidRPr="0045498A">
        <w:rPr>
          <w:rFonts w:ascii="宋体" w:hAnsi="宋体"/>
          <w:sz w:val="24"/>
        </w:rPr>
        <w:t>BIM</w:t>
      </w:r>
      <w:r w:rsidRPr="0045498A">
        <w:rPr>
          <w:rFonts w:ascii="宋体" w:hAnsi="宋体" w:hint="eastAsia"/>
          <w:sz w:val="24"/>
        </w:rPr>
        <w:t>咨询单位等）提出的</w:t>
      </w:r>
      <w:r w:rsidRPr="0045498A">
        <w:rPr>
          <w:rFonts w:ascii="宋体" w:hAnsi="宋体"/>
          <w:sz w:val="24"/>
        </w:rPr>
        <w:t>BIM</w:t>
      </w:r>
      <w:r w:rsidRPr="0045498A">
        <w:rPr>
          <w:rFonts w:ascii="宋体" w:hAnsi="宋体" w:hint="eastAsia"/>
          <w:sz w:val="24"/>
        </w:rPr>
        <w:lastRenderedPageBreak/>
        <w:t>相关要求</w:t>
      </w:r>
    </w:p>
    <w:p w14:paraId="4CA6C39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4、在施工图的基础上，应用</w:t>
      </w:r>
      <w:r w:rsidRPr="0045498A">
        <w:rPr>
          <w:rFonts w:ascii="宋体" w:hAnsi="宋体"/>
          <w:sz w:val="24"/>
        </w:rPr>
        <w:t>BIM进行室</w:t>
      </w:r>
      <w:r w:rsidRPr="0045498A">
        <w:rPr>
          <w:rFonts w:ascii="宋体" w:hAnsi="宋体" w:hint="eastAsia"/>
          <w:sz w:val="24"/>
        </w:rPr>
        <w:t>内</w:t>
      </w:r>
      <w:proofErr w:type="gramStart"/>
      <w:r w:rsidRPr="0045498A">
        <w:rPr>
          <w:rFonts w:ascii="宋体" w:hAnsi="宋体"/>
          <w:sz w:val="24"/>
        </w:rPr>
        <w:t>外综合</w:t>
      </w:r>
      <w:proofErr w:type="gramEnd"/>
      <w:r w:rsidRPr="0045498A">
        <w:rPr>
          <w:rFonts w:ascii="宋体" w:hAnsi="宋体"/>
          <w:sz w:val="24"/>
        </w:rPr>
        <w:t>管线</w:t>
      </w:r>
      <w:r w:rsidRPr="0045498A">
        <w:rPr>
          <w:rFonts w:ascii="宋体" w:hAnsi="宋体" w:hint="eastAsia"/>
          <w:sz w:val="24"/>
        </w:rPr>
        <w:t>的综合</w:t>
      </w:r>
      <w:r w:rsidRPr="0045498A">
        <w:rPr>
          <w:rFonts w:ascii="宋体" w:hAnsi="宋体"/>
          <w:sz w:val="24"/>
        </w:rPr>
        <w:t>优化设计，</w:t>
      </w:r>
      <w:r w:rsidRPr="0045498A">
        <w:rPr>
          <w:rFonts w:ascii="宋体" w:hAnsi="宋体" w:hint="eastAsia"/>
          <w:sz w:val="24"/>
        </w:rPr>
        <w:t>除了满足本期土建要求外，还需</w:t>
      </w:r>
      <w:r w:rsidRPr="0045498A">
        <w:rPr>
          <w:rFonts w:ascii="宋体" w:hAnsi="宋体"/>
          <w:sz w:val="24"/>
        </w:rPr>
        <w:t>为远期</w:t>
      </w:r>
      <w:r w:rsidRPr="0045498A">
        <w:rPr>
          <w:rFonts w:ascii="宋体" w:hAnsi="宋体" w:hint="eastAsia"/>
          <w:sz w:val="24"/>
        </w:rPr>
        <w:t>机电工程</w:t>
      </w:r>
      <w:r w:rsidRPr="0045498A">
        <w:rPr>
          <w:rFonts w:ascii="宋体" w:hAnsi="宋体"/>
          <w:sz w:val="24"/>
        </w:rPr>
        <w:t>做好综合管线容量和位置的预留。</w:t>
      </w:r>
    </w:p>
    <w:p w14:paraId="34AB38E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5、编制 BIM 实施方案</w:t>
      </w:r>
    </w:p>
    <w:p w14:paraId="27B39C3D"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BIM实施方案应包括两部分内容：设计阶段BIM实施方案和施工阶段BIM实施方案。投标人按以下要求编制本项目的 BIM 实施方案，在招标人发出中标通知书之日起，14天内将 BIM实施方案提交招标人审批。</w:t>
      </w:r>
    </w:p>
    <w:p w14:paraId="307D9638"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（1）设计阶段BIM实施方案</w:t>
      </w:r>
    </w:p>
    <w:p w14:paraId="5CF8B5D0"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根据本项目设计特点，投标人编制《设计阶段BIM实施方案》，应包括但不限于以下内容：</w:t>
      </w:r>
    </w:p>
    <w:p w14:paraId="4C63D3BD"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BIM软件及版本；</w:t>
      </w:r>
    </w:p>
    <w:p w14:paraId="2CBED812"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设计阶段BIM应用目的；</w:t>
      </w:r>
    </w:p>
    <w:p w14:paraId="3073FF49"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设计阶段BIM应用范围；</w:t>
      </w:r>
    </w:p>
    <w:p w14:paraId="6D1557B4"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BIM工作内容；</w:t>
      </w:r>
    </w:p>
    <w:p w14:paraId="66D27978"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各专业模型内容；</w:t>
      </w:r>
    </w:p>
    <w:p w14:paraId="338ACBC8"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各阶段模型深度要求；</w:t>
      </w:r>
    </w:p>
    <w:p w14:paraId="6EB893AA"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BIM颜色要求；</w:t>
      </w:r>
    </w:p>
    <w:p w14:paraId="3A05E30F"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BIM模型组织方式；</w:t>
      </w:r>
    </w:p>
    <w:p w14:paraId="0EE48B7F"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建模规则与信息要求；</w:t>
      </w:r>
    </w:p>
    <w:p w14:paraId="70C840D4"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协同工作分工；</w:t>
      </w:r>
    </w:p>
    <w:p w14:paraId="4D6BFFF9" w14:textId="77777777" w:rsidR="00616558" w:rsidRPr="0045498A" w:rsidRDefault="00000000">
      <w:pPr>
        <w:pStyle w:val="a1"/>
        <w:numPr>
          <w:ilvl w:val="0"/>
          <w:numId w:val="14"/>
        </w:numPr>
        <w:spacing w:after="0" w:line="360" w:lineRule="auto"/>
        <w:ind w:left="0" w:firstLineChars="200" w:firstLine="480"/>
        <w:rPr>
          <w:rFonts w:ascii="宋体" w:eastAsia="宋体" w:hAnsi="宋体"/>
          <w:sz w:val="24"/>
        </w:rPr>
      </w:pPr>
      <w:r w:rsidRPr="0045498A">
        <w:rPr>
          <w:rFonts w:ascii="宋体" w:eastAsia="宋体" w:hAnsi="宋体" w:hint="eastAsia"/>
          <w:sz w:val="24"/>
        </w:rPr>
        <w:t>成果交付格式及内容。</w:t>
      </w:r>
    </w:p>
    <w:p w14:paraId="4347D025"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（2）施工阶段BIM实施方案</w:t>
      </w:r>
    </w:p>
    <w:p w14:paraId="3508E95E" w14:textId="77777777" w:rsidR="00616558" w:rsidRPr="0045498A" w:rsidRDefault="00000000">
      <w:pPr>
        <w:pStyle w:val="a1"/>
        <w:spacing w:after="0" w:line="360" w:lineRule="auto"/>
        <w:ind w:leftChars="200" w:left="420"/>
        <w:rPr>
          <w:rFonts w:ascii="宋体" w:eastAsia="宋体" w:hAnsi="宋体"/>
          <w:sz w:val="24"/>
        </w:rPr>
      </w:pPr>
      <w:r w:rsidRPr="0045498A">
        <w:rPr>
          <w:rFonts w:ascii="宋体" w:eastAsia="宋体" w:hAnsi="宋体" w:hint="eastAsia"/>
          <w:sz w:val="24"/>
        </w:rPr>
        <w:t>根据本项目特点、项目组织方式，投标人编制《施工阶段BIM实施方案》，应包括但不限于以下内容：</w:t>
      </w:r>
    </w:p>
    <w:p w14:paraId="31ED9164"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施工阶段BIM实施目标；</w:t>
      </w:r>
    </w:p>
    <w:p w14:paraId="01EF85CB"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投标人BIM实施职责及团队配置要求；</w:t>
      </w:r>
    </w:p>
    <w:p w14:paraId="5CEC75C4"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施工阶段BIM实施计划；</w:t>
      </w:r>
    </w:p>
    <w:p w14:paraId="766EC2CF"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施工阶段各参与方的项目协同权限分配及协同机制；</w:t>
      </w:r>
    </w:p>
    <w:p w14:paraId="1234718B"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软件版本及数据格式的统一（应与设计阶段保持一致）；</w:t>
      </w:r>
    </w:p>
    <w:p w14:paraId="00F49C2B"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项目BIM实施应用管理办法；</w:t>
      </w:r>
    </w:p>
    <w:p w14:paraId="4317D9B7"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lastRenderedPageBreak/>
        <w:t>信息录入标准；</w:t>
      </w:r>
    </w:p>
    <w:p w14:paraId="05080EE3"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项目成果交付要求；</w:t>
      </w:r>
    </w:p>
    <w:p w14:paraId="212FCB65" w14:textId="77777777" w:rsidR="00616558" w:rsidRPr="0045498A" w:rsidRDefault="00000000">
      <w:pPr>
        <w:pStyle w:val="a1"/>
        <w:numPr>
          <w:ilvl w:val="0"/>
          <w:numId w:val="15"/>
        </w:numPr>
        <w:spacing w:after="0" w:line="360" w:lineRule="auto"/>
        <w:ind w:left="0" w:firstLineChars="200" w:firstLine="480"/>
        <w:rPr>
          <w:rFonts w:ascii="宋体" w:eastAsia="宋体" w:hAnsi="宋体"/>
          <w:sz w:val="24"/>
        </w:rPr>
      </w:pPr>
      <w:r w:rsidRPr="0045498A">
        <w:rPr>
          <w:rFonts w:ascii="宋体" w:eastAsia="宋体" w:hAnsi="宋体" w:hint="eastAsia"/>
          <w:sz w:val="24"/>
        </w:rPr>
        <w:t>审核/确认：BIM成功和数据的审核/确认流程。</w:t>
      </w:r>
    </w:p>
    <w:p w14:paraId="419AAC9F"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6、技术交流及培训</w:t>
      </w:r>
    </w:p>
    <w:p w14:paraId="65DD1BD0"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（1）投标人负责组织BIM相关方参与外部优秀BI</w:t>
      </w:r>
      <w:r w:rsidRPr="0045498A">
        <w:rPr>
          <w:rFonts w:ascii="宋体" w:eastAsia="宋体" w:hAnsi="宋体"/>
          <w:sz w:val="24"/>
        </w:rPr>
        <w:t>M</w:t>
      </w:r>
      <w:r w:rsidRPr="0045498A">
        <w:rPr>
          <w:rFonts w:ascii="宋体" w:eastAsia="宋体" w:hAnsi="宋体" w:hint="eastAsia"/>
          <w:sz w:val="24"/>
        </w:rPr>
        <w:t>应用项目的交流学习；</w:t>
      </w:r>
    </w:p>
    <w:p w14:paraId="6E80E269"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（2）投标人负责本项目对内、对外的BIM相关工作汇报；</w:t>
      </w:r>
    </w:p>
    <w:p w14:paraId="617ACCE7"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（3）投标人负责组织本项目BI</w:t>
      </w:r>
      <w:r w:rsidRPr="0045498A">
        <w:rPr>
          <w:rFonts w:ascii="宋体" w:eastAsia="宋体" w:hAnsi="宋体"/>
          <w:sz w:val="24"/>
        </w:rPr>
        <w:t>M</w:t>
      </w:r>
      <w:r w:rsidRPr="0045498A">
        <w:rPr>
          <w:rFonts w:ascii="宋体" w:eastAsia="宋体" w:hAnsi="宋体" w:hint="eastAsia"/>
          <w:sz w:val="24"/>
        </w:rPr>
        <w:t>工作相关人员的技术培训。</w:t>
      </w:r>
    </w:p>
    <w:p w14:paraId="3F13B660"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7、其他工作</w:t>
      </w:r>
    </w:p>
    <w:p w14:paraId="72484F66"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其他BIM 技术相关工作内容未在此文件中明示的，在实施过程中进行调整补充。</w:t>
      </w:r>
    </w:p>
    <w:p w14:paraId="5B1AE3AE"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投标人能力要求</w:t>
      </w:r>
    </w:p>
    <w:p w14:paraId="319D6C25" w14:textId="77777777" w:rsidR="00616558" w:rsidRPr="0045498A" w:rsidRDefault="00000000">
      <w:pPr>
        <w:pStyle w:val="a1"/>
        <w:spacing w:after="0" w:line="360" w:lineRule="auto"/>
        <w:rPr>
          <w:rFonts w:ascii="宋体" w:eastAsia="宋体" w:hAnsi="宋体"/>
          <w:sz w:val="24"/>
        </w:rPr>
      </w:pPr>
      <w:r w:rsidRPr="0045498A">
        <w:rPr>
          <w:rFonts w:ascii="宋体" w:eastAsia="宋体" w:hAnsi="宋体" w:hint="eastAsia"/>
          <w:sz w:val="24"/>
        </w:rPr>
        <w:t>（1）投标人设计能力要求（若为联合体，指联合体设计方）</w:t>
      </w:r>
    </w:p>
    <w:p w14:paraId="7F4A8A6C"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sz w:val="24"/>
        </w:rPr>
        <w:t>1</w:t>
      </w:r>
      <w:r w:rsidRPr="0045498A">
        <w:rPr>
          <w:rFonts w:ascii="宋体" w:eastAsia="宋体" w:hAnsi="宋体" w:hint="eastAsia"/>
          <w:sz w:val="24"/>
        </w:rPr>
        <w:t>）投标人应拥有经验丰富的BIM设计团队，在建筑项目设计过程中实现全专业、全流程的BIM设计，提高项目设计质量和效率，从而减少后续施工期间的洽商和返工，保障施工周期，节约项目资金；</w:t>
      </w:r>
    </w:p>
    <w:p w14:paraId="69AD6045"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sz w:val="24"/>
        </w:rPr>
        <w:t>2</w:t>
      </w:r>
      <w:r w:rsidRPr="0045498A">
        <w:rPr>
          <w:rFonts w:ascii="宋体" w:eastAsia="宋体" w:hAnsi="宋体" w:hint="eastAsia"/>
          <w:sz w:val="24"/>
        </w:rPr>
        <w:t>）投标人应拥有丰富的BIM设计经验，能利用BIM技术在设计阶段出具建筑性能分析，运用BIM技术完成全专业和全流程的设计；</w:t>
      </w:r>
    </w:p>
    <w:p w14:paraId="3B532DD4"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sz w:val="24"/>
        </w:rPr>
        <w:t>3</w:t>
      </w:r>
      <w:r w:rsidRPr="0045498A">
        <w:rPr>
          <w:rFonts w:ascii="宋体" w:eastAsia="宋体" w:hAnsi="宋体" w:hint="eastAsia"/>
          <w:sz w:val="24"/>
        </w:rPr>
        <w:t>）投标人可以利用BIM技术在工程实施前进行详细到位的技术交底，同时保证提供的设计阶段BIM模型信息的正确性及完整性。</w:t>
      </w:r>
    </w:p>
    <w:p w14:paraId="0111F40A" w14:textId="77777777" w:rsidR="00616558" w:rsidRPr="0045498A" w:rsidRDefault="00000000">
      <w:pPr>
        <w:pStyle w:val="a1"/>
        <w:spacing w:after="0" w:line="360" w:lineRule="auto"/>
        <w:ind w:firstLineChars="100" w:firstLine="240"/>
        <w:rPr>
          <w:rFonts w:ascii="宋体" w:eastAsia="宋体" w:hAnsi="宋体"/>
          <w:sz w:val="24"/>
        </w:rPr>
      </w:pPr>
      <w:r w:rsidRPr="0045498A">
        <w:rPr>
          <w:rFonts w:ascii="宋体" w:eastAsia="宋体" w:hAnsi="宋体" w:hint="eastAsia"/>
          <w:sz w:val="24"/>
        </w:rPr>
        <w:t>（</w:t>
      </w:r>
      <w:r w:rsidRPr="0045498A">
        <w:rPr>
          <w:rFonts w:ascii="宋体" w:eastAsia="宋体" w:hAnsi="宋体"/>
          <w:sz w:val="24"/>
        </w:rPr>
        <w:t>2</w:t>
      </w:r>
      <w:r w:rsidRPr="0045498A">
        <w:rPr>
          <w:rFonts w:ascii="宋体" w:eastAsia="宋体" w:hAnsi="宋体" w:hint="eastAsia"/>
          <w:sz w:val="24"/>
        </w:rPr>
        <w:t>）投标人施工能力要求（若为联合体，指联合体施工方）</w:t>
      </w:r>
    </w:p>
    <w:p w14:paraId="28CBC4D4"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投标人应拥有丰富的BIM施工管理经验，配置专业的BIM技术团队，施工管理人员需要对BIM技术的应用特点有深刻的了解，能利用BIM技术进行节点组织控制管理。</w:t>
      </w:r>
    </w:p>
    <w:p w14:paraId="2C4ABE67" w14:textId="77777777" w:rsidR="00616558" w:rsidRPr="0045498A" w:rsidRDefault="00000000" w:rsidP="00FC4798">
      <w:pPr>
        <w:pStyle w:val="3"/>
        <w:spacing w:before="0" w:after="0" w:line="360" w:lineRule="auto"/>
        <w:ind w:left="142" w:hanging="142"/>
        <w:rPr>
          <w:rFonts w:ascii="宋体" w:hAnsi="宋体" w:cs="微软雅黑"/>
          <w:sz w:val="24"/>
          <w:szCs w:val="24"/>
        </w:rPr>
      </w:pPr>
      <w:r w:rsidRPr="0045498A">
        <w:rPr>
          <w:rFonts w:ascii="宋体" w:hAnsi="宋体" w:cs="微软雅黑" w:hint="eastAsia"/>
          <w:sz w:val="24"/>
          <w:szCs w:val="24"/>
        </w:rPr>
        <w:t>投标人职责要求</w:t>
      </w:r>
    </w:p>
    <w:p w14:paraId="4A773C0A"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（1）投标人设计工作职责（若为联合体，指联合体设计方）</w:t>
      </w:r>
    </w:p>
    <w:p w14:paraId="5B4719D2"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包括但不限于：投标人作为项目的设计方应基于BIM平台完成本项目BIM的设计工作，应使用BIM技术与项目各参与方进行BIM设计交底；</w:t>
      </w:r>
    </w:p>
    <w:p w14:paraId="51B668B3"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（2）投标人施工工作职责（若为联合体，指联合体施工方）</w:t>
      </w:r>
    </w:p>
    <w:p w14:paraId="5DDB8BF1"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包括但不限于：</w:t>
      </w:r>
    </w:p>
    <w:p w14:paraId="4A94927D"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1）投标人应充分利用设计阶段BIM模型，对自身合同范围内的设计阶段BIM模型进行必要校核和调整。</w:t>
      </w:r>
    </w:p>
    <w:p w14:paraId="40C49B81"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sz w:val="24"/>
        </w:rPr>
        <w:t>2</w:t>
      </w:r>
      <w:r w:rsidRPr="0045498A">
        <w:rPr>
          <w:rFonts w:ascii="宋体" w:eastAsia="宋体" w:hAnsi="宋体" w:hint="eastAsia"/>
          <w:sz w:val="24"/>
        </w:rPr>
        <w:t>）投标人应根据项目实际施工进展，基于设计BIM模型，完善施工阶段BIM模型，并</w:t>
      </w:r>
      <w:r w:rsidRPr="0045498A">
        <w:rPr>
          <w:rFonts w:ascii="宋体" w:eastAsia="宋体" w:hAnsi="宋体" w:hint="eastAsia"/>
          <w:sz w:val="24"/>
        </w:rPr>
        <w:lastRenderedPageBreak/>
        <w:t>在施工过程中及时更新，保持适用性。</w:t>
      </w:r>
    </w:p>
    <w:p w14:paraId="518E7263"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sz w:val="24"/>
        </w:rPr>
        <w:t>3</w:t>
      </w:r>
      <w:r w:rsidRPr="0045498A">
        <w:rPr>
          <w:rFonts w:ascii="宋体" w:eastAsia="宋体" w:hAnsi="宋体" w:hint="eastAsia"/>
          <w:sz w:val="24"/>
        </w:rPr>
        <w:t>）保证BIM模型与施工现场相结合，并配合BIM总协调完成施工阶段和竣工阶段B</w:t>
      </w:r>
      <w:r w:rsidRPr="0045498A">
        <w:rPr>
          <w:rFonts w:ascii="宋体" w:eastAsia="宋体" w:hAnsi="宋体"/>
          <w:sz w:val="24"/>
        </w:rPr>
        <w:t>IM</w:t>
      </w:r>
      <w:r w:rsidRPr="0045498A">
        <w:rPr>
          <w:rFonts w:ascii="宋体" w:eastAsia="宋体" w:hAnsi="宋体" w:hint="eastAsia"/>
          <w:sz w:val="24"/>
        </w:rPr>
        <w:t>应用。</w:t>
      </w:r>
    </w:p>
    <w:p w14:paraId="60C72797" w14:textId="77777777" w:rsidR="00616558" w:rsidRPr="0045498A" w:rsidRDefault="00000000">
      <w:pPr>
        <w:pStyle w:val="a1"/>
        <w:spacing w:after="0" w:line="360" w:lineRule="auto"/>
        <w:ind w:firstLineChars="200" w:firstLine="480"/>
        <w:rPr>
          <w:rFonts w:ascii="宋体" w:eastAsia="宋体" w:hAnsi="宋体"/>
          <w:strike/>
          <w:sz w:val="24"/>
        </w:rPr>
      </w:pPr>
      <w:r w:rsidRPr="0045498A">
        <w:rPr>
          <w:rFonts w:ascii="宋体" w:eastAsia="宋体" w:hAnsi="宋体"/>
          <w:sz w:val="24"/>
        </w:rPr>
        <w:t>4</w:t>
      </w:r>
      <w:r w:rsidRPr="0045498A">
        <w:rPr>
          <w:rFonts w:ascii="宋体" w:eastAsia="宋体" w:hAnsi="宋体" w:hint="eastAsia"/>
          <w:sz w:val="24"/>
        </w:rPr>
        <w:t>）投标人负责本项目全部专业的BIM技术应用，包括全部分包单位BIM建模等工作。</w:t>
      </w:r>
    </w:p>
    <w:p w14:paraId="5346ADB6"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投标人工作要求</w:t>
      </w:r>
    </w:p>
    <w:p w14:paraId="5983017F" w14:textId="77777777" w:rsidR="00616558" w:rsidRPr="0045498A" w:rsidRDefault="00000000">
      <w:pPr>
        <w:pStyle w:val="a1"/>
        <w:spacing w:after="0" w:line="360" w:lineRule="auto"/>
        <w:ind w:firstLineChars="300" w:firstLine="720"/>
        <w:rPr>
          <w:rFonts w:ascii="宋体" w:eastAsia="宋体" w:hAnsi="宋体"/>
          <w:sz w:val="24"/>
        </w:rPr>
      </w:pPr>
      <w:r w:rsidRPr="0045498A">
        <w:rPr>
          <w:rFonts w:ascii="宋体" w:eastAsia="宋体" w:hAnsi="宋体" w:hint="eastAsia"/>
          <w:sz w:val="24"/>
        </w:rPr>
        <w:t>对投标人的工作要求包括但不限于：</w:t>
      </w:r>
    </w:p>
    <w:p w14:paraId="11DD51F0"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（1）按招标要求完成本项目 BIM 模型；保证模型准确反映图纸信息；提交给招标人的模型和碰撞报告需要经过复核；以确保模型和碰撞报告的准确性。</w:t>
      </w:r>
    </w:p>
    <w:p w14:paraId="729D0DC5"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（2）按招标人要求出席 BIM 例会、项目现场例会（每周一次）等工程会议，必要时在会议中进行模型操作。</w:t>
      </w:r>
    </w:p>
    <w:p w14:paraId="0E263781"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（3）需严格按照招标人所要求的进度按时提供相应成果及服务，包括加急工作事宜。</w:t>
      </w:r>
    </w:p>
    <w:p w14:paraId="6B2C09EE"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（4）在项目建模及碰撞检查过程中，向招标人提供有关工程的各种合理化建议。</w:t>
      </w:r>
    </w:p>
    <w:p w14:paraId="1385E6E6"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（5）成立BI</w:t>
      </w:r>
      <w:r w:rsidRPr="0045498A">
        <w:rPr>
          <w:rFonts w:ascii="宋体" w:eastAsia="宋体" w:hAnsi="宋体"/>
          <w:sz w:val="24"/>
        </w:rPr>
        <w:t>M</w:t>
      </w:r>
      <w:r w:rsidRPr="0045498A">
        <w:rPr>
          <w:rFonts w:ascii="宋体" w:eastAsia="宋体" w:hAnsi="宋体" w:hint="eastAsia"/>
          <w:sz w:val="24"/>
        </w:rPr>
        <w:t>工作小组，与招标人及相关各方就模型进行交流，共同详细讨论建模需求及功能，直至满足招标人需求。</w:t>
      </w:r>
    </w:p>
    <w:p w14:paraId="12F7CDB7"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（6）定期组织各参建方就应用过程中发现的问题进行协调解决，直至满足招标人的需求。</w:t>
      </w:r>
    </w:p>
    <w:p w14:paraId="479B95E2"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（7）对招标人提供的图纸进行整理、分析、确认。</w:t>
      </w:r>
    </w:p>
    <w:p w14:paraId="36D1E5FB"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（8）向招标人提交工作计划，按照审核意见进行细化完善。</w:t>
      </w:r>
    </w:p>
    <w:p w14:paraId="2D7090B9"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模型细度要求</w:t>
      </w:r>
    </w:p>
    <w:p w14:paraId="526CC81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本项目各阶段BIM模型细度等级划分按下</w:t>
      </w:r>
      <w:proofErr w:type="gramStart"/>
      <w:r w:rsidRPr="0045498A">
        <w:rPr>
          <w:rFonts w:ascii="宋体" w:hAnsi="宋体" w:hint="eastAsia"/>
          <w:sz w:val="24"/>
        </w:rPr>
        <w:t>表要求</w:t>
      </w:r>
      <w:proofErr w:type="gramEnd"/>
      <w:r w:rsidRPr="0045498A">
        <w:rPr>
          <w:rFonts w:ascii="宋体" w:hAnsi="宋体" w:hint="eastAsia"/>
          <w:sz w:val="24"/>
        </w:rPr>
        <w:t>执行。每一模型细度等级所包含的模型元素及其几何和非几何信息应满足本阶段各项专业任务对模型的需要。</w:t>
      </w:r>
    </w:p>
    <w:p w14:paraId="32444397" w14:textId="77777777" w:rsidR="00616558" w:rsidRPr="0045498A" w:rsidRDefault="00000000">
      <w:pPr>
        <w:pStyle w:val="a1"/>
        <w:spacing w:after="0" w:line="360" w:lineRule="auto"/>
        <w:jc w:val="center"/>
        <w:rPr>
          <w:rFonts w:ascii="宋体" w:eastAsia="宋体" w:hAnsi="宋体"/>
          <w:sz w:val="24"/>
        </w:rPr>
      </w:pPr>
      <w:r w:rsidRPr="0045498A">
        <w:rPr>
          <w:rFonts w:ascii="宋体" w:eastAsia="宋体" w:hAnsi="宋体" w:hint="eastAsia"/>
          <w:sz w:val="24"/>
        </w:rPr>
        <w:t>模型细度等级划分表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5"/>
        <w:gridCol w:w="3175"/>
        <w:gridCol w:w="3176"/>
      </w:tblGrid>
      <w:tr w:rsidR="00616558" w:rsidRPr="0045498A" w14:paraId="3140E0CC" w14:textId="77777777">
        <w:trPr>
          <w:jc w:val="center"/>
        </w:trPr>
        <w:tc>
          <w:tcPr>
            <w:tcW w:w="3175" w:type="dxa"/>
          </w:tcPr>
          <w:p w14:paraId="7FE1C4A7"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名称</w:t>
            </w:r>
          </w:p>
        </w:tc>
        <w:tc>
          <w:tcPr>
            <w:tcW w:w="3175" w:type="dxa"/>
          </w:tcPr>
          <w:p w14:paraId="134241D7"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等级代号</w:t>
            </w:r>
          </w:p>
        </w:tc>
        <w:tc>
          <w:tcPr>
            <w:tcW w:w="3176" w:type="dxa"/>
          </w:tcPr>
          <w:p w14:paraId="6FE4A2A7"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形成阶段</w:t>
            </w:r>
          </w:p>
        </w:tc>
      </w:tr>
      <w:tr w:rsidR="00616558" w:rsidRPr="0045498A" w14:paraId="641D66CB" w14:textId="77777777">
        <w:trPr>
          <w:jc w:val="center"/>
        </w:trPr>
        <w:tc>
          <w:tcPr>
            <w:tcW w:w="3175" w:type="dxa"/>
          </w:tcPr>
          <w:p w14:paraId="20FCBCF7"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施工图设计模型</w:t>
            </w:r>
          </w:p>
        </w:tc>
        <w:tc>
          <w:tcPr>
            <w:tcW w:w="3175" w:type="dxa"/>
          </w:tcPr>
          <w:p w14:paraId="1AEA14D1"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LOD</w:t>
            </w:r>
            <w:r w:rsidRPr="0045498A">
              <w:rPr>
                <w:rFonts w:ascii="宋体" w:eastAsia="宋体" w:hAnsi="宋体"/>
                <w:sz w:val="24"/>
              </w:rPr>
              <w:t>300</w:t>
            </w:r>
          </w:p>
        </w:tc>
        <w:tc>
          <w:tcPr>
            <w:tcW w:w="3176" w:type="dxa"/>
          </w:tcPr>
          <w:p w14:paraId="212D5B89"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施工图设计阶段</w:t>
            </w:r>
          </w:p>
        </w:tc>
      </w:tr>
      <w:tr w:rsidR="00616558" w:rsidRPr="0045498A" w14:paraId="51DDCCB8" w14:textId="77777777">
        <w:trPr>
          <w:jc w:val="center"/>
        </w:trPr>
        <w:tc>
          <w:tcPr>
            <w:tcW w:w="3175" w:type="dxa"/>
          </w:tcPr>
          <w:p w14:paraId="56FD5349"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施工过程模型</w:t>
            </w:r>
          </w:p>
        </w:tc>
        <w:tc>
          <w:tcPr>
            <w:tcW w:w="3175" w:type="dxa"/>
          </w:tcPr>
          <w:p w14:paraId="4F70F3AE"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LOD</w:t>
            </w:r>
            <w:r w:rsidRPr="0045498A">
              <w:rPr>
                <w:rFonts w:ascii="宋体" w:eastAsia="宋体" w:hAnsi="宋体"/>
                <w:sz w:val="24"/>
              </w:rPr>
              <w:t>400</w:t>
            </w:r>
          </w:p>
        </w:tc>
        <w:tc>
          <w:tcPr>
            <w:tcW w:w="3176" w:type="dxa"/>
          </w:tcPr>
          <w:p w14:paraId="3B414416"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施工实施阶段</w:t>
            </w:r>
          </w:p>
        </w:tc>
      </w:tr>
      <w:tr w:rsidR="00616558" w:rsidRPr="0045498A" w14:paraId="4E449F04" w14:textId="77777777">
        <w:trPr>
          <w:jc w:val="center"/>
        </w:trPr>
        <w:tc>
          <w:tcPr>
            <w:tcW w:w="3175" w:type="dxa"/>
          </w:tcPr>
          <w:p w14:paraId="450388AF"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竣工验收模型</w:t>
            </w:r>
          </w:p>
        </w:tc>
        <w:tc>
          <w:tcPr>
            <w:tcW w:w="3175" w:type="dxa"/>
          </w:tcPr>
          <w:p w14:paraId="339F733F"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LOD</w:t>
            </w:r>
            <w:r w:rsidRPr="0045498A">
              <w:rPr>
                <w:rFonts w:ascii="宋体" w:eastAsia="宋体" w:hAnsi="宋体"/>
                <w:sz w:val="24"/>
              </w:rPr>
              <w:t>500</w:t>
            </w:r>
          </w:p>
        </w:tc>
        <w:tc>
          <w:tcPr>
            <w:tcW w:w="3176" w:type="dxa"/>
          </w:tcPr>
          <w:p w14:paraId="07151148" w14:textId="77777777" w:rsidR="00616558" w:rsidRPr="0045498A" w:rsidRDefault="00000000">
            <w:pPr>
              <w:pStyle w:val="a1"/>
              <w:spacing w:after="0" w:line="360" w:lineRule="auto"/>
              <w:jc w:val="center"/>
              <w:textAlignment w:val="center"/>
              <w:rPr>
                <w:rFonts w:ascii="宋体" w:eastAsia="宋体" w:hAnsi="宋体"/>
                <w:sz w:val="24"/>
              </w:rPr>
            </w:pPr>
            <w:r w:rsidRPr="0045498A">
              <w:rPr>
                <w:rFonts w:ascii="宋体" w:eastAsia="宋体" w:hAnsi="宋体" w:hint="eastAsia"/>
                <w:sz w:val="24"/>
              </w:rPr>
              <w:t>竣工验收阶段</w:t>
            </w:r>
          </w:p>
        </w:tc>
      </w:tr>
    </w:tbl>
    <w:p w14:paraId="39954E92" w14:textId="77777777" w:rsidR="00616558" w:rsidRPr="0045498A" w:rsidRDefault="00000000">
      <w:pPr>
        <w:pStyle w:val="26"/>
        <w:wordWrap/>
        <w:spacing w:afterLines="0" w:after="0" w:line="360" w:lineRule="auto"/>
        <w:rPr>
          <w:rFonts w:ascii="宋体" w:hAnsi="宋体"/>
          <w:kern w:val="2"/>
          <w:szCs w:val="24"/>
        </w:rPr>
      </w:pPr>
      <w:r w:rsidRPr="0045498A">
        <w:rPr>
          <w:rFonts w:ascii="宋体" w:hAnsi="宋体" w:hint="eastAsia"/>
          <w:kern w:val="2"/>
          <w:szCs w:val="24"/>
        </w:rPr>
        <w:t>施工图设计模型、施工过程模型和竣工验收模型各个专业（包括但不限于建筑专业、结构专业、给排水专业、暖通空调专业、电气专业）所包含的模型元素内容及其几何和非几何信息应符合《广东省建筑信息模型应用统一标准（</w:t>
      </w:r>
      <w:r w:rsidRPr="0045498A">
        <w:rPr>
          <w:rFonts w:ascii="宋体" w:hAnsi="宋体"/>
          <w:kern w:val="2"/>
          <w:szCs w:val="24"/>
        </w:rPr>
        <w:t>DBJ/T 15</w:t>
      </w:r>
      <w:r w:rsidRPr="0045498A">
        <w:rPr>
          <w:rFonts w:ascii="宋体" w:hAnsi="宋体" w:hint="eastAsia"/>
          <w:kern w:val="2"/>
          <w:szCs w:val="24"/>
        </w:rPr>
        <w:t>-</w:t>
      </w:r>
      <w:r w:rsidRPr="0045498A">
        <w:rPr>
          <w:rFonts w:ascii="宋体" w:hAnsi="宋体"/>
          <w:kern w:val="2"/>
          <w:szCs w:val="24"/>
        </w:rPr>
        <w:t>142-2018</w:t>
      </w:r>
      <w:r w:rsidRPr="0045498A">
        <w:rPr>
          <w:rFonts w:ascii="宋体" w:hAnsi="宋体" w:hint="eastAsia"/>
          <w:kern w:val="2"/>
          <w:szCs w:val="24"/>
        </w:rPr>
        <w:t>）》有关规定。</w:t>
      </w:r>
    </w:p>
    <w:p w14:paraId="2FF40305"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lastRenderedPageBreak/>
        <w:t>实施团队要求与现场服务要求</w:t>
      </w:r>
    </w:p>
    <w:p w14:paraId="3F249156" w14:textId="77777777" w:rsidR="00616558" w:rsidRPr="0045498A" w:rsidRDefault="00000000">
      <w:pPr>
        <w:pStyle w:val="26"/>
        <w:wordWrap/>
        <w:spacing w:afterLines="0" w:after="0" w:line="360" w:lineRule="auto"/>
        <w:rPr>
          <w:rFonts w:ascii="宋体" w:hAnsi="宋体"/>
          <w:kern w:val="2"/>
          <w:szCs w:val="24"/>
        </w:rPr>
      </w:pPr>
      <w:r w:rsidRPr="0045498A">
        <w:rPr>
          <w:rFonts w:ascii="宋体" w:hAnsi="宋体"/>
          <w:kern w:val="2"/>
          <w:szCs w:val="24"/>
        </w:rPr>
        <w:t>1</w:t>
      </w:r>
      <w:r w:rsidRPr="0045498A">
        <w:rPr>
          <w:rFonts w:ascii="宋体" w:hAnsi="宋体" w:hint="eastAsia"/>
          <w:kern w:val="2"/>
          <w:szCs w:val="24"/>
        </w:rPr>
        <w:t>、驻场人员需具备2年以上BIM实践及施工管理经验，驻场人员专职为本项目服务。</w:t>
      </w:r>
    </w:p>
    <w:p w14:paraId="78E864C2" w14:textId="77777777" w:rsidR="00616558" w:rsidRPr="0045498A" w:rsidRDefault="00000000">
      <w:pPr>
        <w:pStyle w:val="26"/>
        <w:wordWrap/>
        <w:spacing w:afterLines="0" w:after="0" w:line="360" w:lineRule="auto"/>
        <w:rPr>
          <w:rFonts w:ascii="宋体" w:hAnsi="宋体"/>
          <w:kern w:val="2"/>
          <w:szCs w:val="24"/>
        </w:rPr>
      </w:pPr>
      <w:r w:rsidRPr="0045498A">
        <w:rPr>
          <w:rFonts w:ascii="宋体" w:hAnsi="宋体"/>
          <w:kern w:val="2"/>
          <w:szCs w:val="24"/>
        </w:rPr>
        <w:t>2</w:t>
      </w:r>
      <w:r w:rsidRPr="0045498A">
        <w:rPr>
          <w:rFonts w:ascii="宋体" w:hAnsi="宋体" w:hint="eastAsia"/>
          <w:kern w:val="2"/>
          <w:szCs w:val="24"/>
        </w:rPr>
        <w:t>、应有足够的团队人员配置，满足本工程集中建模时的需求。</w:t>
      </w:r>
    </w:p>
    <w:p w14:paraId="066E627D" w14:textId="77777777" w:rsidR="00616558" w:rsidRPr="0045498A" w:rsidRDefault="00000000">
      <w:pPr>
        <w:pStyle w:val="26"/>
        <w:wordWrap/>
        <w:spacing w:afterLines="0" w:after="0" w:line="360" w:lineRule="auto"/>
        <w:rPr>
          <w:rFonts w:ascii="宋体" w:hAnsi="宋体"/>
          <w:kern w:val="2"/>
          <w:szCs w:val="24"/>
        </w:rPr>
      </w:pPr>
      <w:r w:rsidRPr="0045498A">
        <w:rPr>
          <w:rFonts w:ascii="宋体" w:hAnsi="宋体"/>
          <w:kern w:val="2"/>
          <w:szCs w:val="24"/>
        </w:rPr>
        <w:t>3</w:t>
      </w:r>
      <w:r w:rsidRPr="0045498A">
        <w:rPr>
          <w:rFonts w:ascii="宋体" w:hAnsi="宋体" w:hint="eastAsia"/>
          <w:kern w:val="2"/>
          <w:szCs w:val="24"/>
        </w:rPr>
        <w:t>、投标人必须派驻足够的BIM系统专业技术人员常驻项目，进场后需提供本工程BIM 实施策划方案、工作流程等相关资料，进行建模工作及信息录入等工作，并保证现场进度需要。</w:t>
      </w:r>
    </w:p>
    <w:p w14:paraId="53C4FA33"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设计阶段BIM应用要求</w:t>
      </w:r>
    </w:p>
    <w:p w14:paraId="46BF577C"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总体应用目标</w:t>
      </w:r>
    </w:p>
    <w:p w14:paraId="358C0B8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通过设计阶段B</w:t>
      </w:r>
      <w:r w:rsidRPr="0045498A">
        <w:rPr>
          <w:rFonts w:ascii="宋体" w:hAnsi="宋体"/>
          <w:sz w:val="24"/>
        </w:rPr>
        <w:t>IM</w:t>
      </w:r>
      <w:r w:rsidRPr="0045498A">
        <w:rPr>
          <w:rFonts w:ascii="宋体" w:hAnsi="宋体" w:hint="eastAsia"/>
          <w:sz w:val="24"/>
        </w:rPr>
        <w:t xml:space="preserve">技术应用，将 BIM 优势与传统设计充分融合，优化设计过程，实现：通过对模型的性能化分析优化设计方案，提高建筑性能；通过三维可视化提升各专业沟通效率；通过基于 </w:t>
      </w:r>
      <w:proofErr w:type="spellStart"/>
      <w:r w:rsidRPr="0045498A">
        <w:rPr>
          <w:rFonts w:ascii="宋体" w:hAnsi="宋体" w:hint="eastAsia"/>
          <w:sz w:val="24"/>
        </w:rPr>
        <w:t>BIM</w:t>
      </w:r>
      <w:proofErr w:type="spellEnd"/>
      <w:r w:rsidRPr="0045498A">
        <w:rPr>
          <w:rFonts w:ascii="宋体" w:hAnsi="宋体" w:hint="eastAsia"/>
          <w:sz w:val="24"/>
        </w:rPr>
        <w:t xml:space="preserve"> 的多专业协同设计与模型整合提高设计质量，减少设计错误，减少后期设计变更。</w:t>
      </w:r>
    </w:p>
    <w:p w14:paraId="58A3584A"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应用范围</w:t>
      </w:r>
    </w:p>
    <w:p w14:paraId="0D7F00B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投标人应按以下要求开展设计阶段BIM技术应用，应用范围包括但不限于以下内容：</w:t>
      </w:r>
    </w:p>
    <w:p w14:paraId="5C4AA97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（1）碰撞检查</w:t>
      </w:r>
    </w:p>
    <w:p w14:paraId="3755382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投标人利用BIM模型检查所有土建模型与管线、设备的碰撞，形成碰撞分析报告，碰撞报告包括碰撞点的位置、类型、数量、修改方案等。</w:t>
      </w:r>
    </w:p>
    <w:p w14:paraId="5B57901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（2）管线综合</w:t>
      </w:r>
    </w:p>
    <w:p w14:paraId="493FF2D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投标人利用BIM模型进行所有管线的管线综合，确保干管及支管走向合理、美观，同时符合运营、维护单位对于净高的需求。</w:t>
      </w:r>
    </w:p>
    <w:p w14:paraId="3552E65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（3）设计接口分析</w:t>
      </w:r>
    </w:p>
    <w:p w14:paraId="485B43B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投标人利用BIM模型复核该项目与其他相邻项目所有的设计接口，确保本项目所有设计接口与相邻项目的坐标、标高、相关设计参数的一致性。</w:t>
      </w:r>
    </w:p>
    <w:p w14:paraId="704282F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（4）可视化设计交底</w:t>
      </w:r>
    </w:p>
    <w:p w14:paraId="42A7781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投标人利用BIM模型进行可视化设计交底，加强施工单位对复杂区域和重点区域设计要点的理解。</w:t>
      </w:r>
    </w:p>
    <w:p w14:paraId="2DB6673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（5）机电深化设计</w:t>
      </w:r>
    </w:p>
    <w:p w14:paraId="49A27B8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应用 BIM 技术实现设备布置及管理、专业协调、管线综合、净空控制、参数复核、支吊架设计及机电末端和预留预埋定位，输出机电管线综合图、机电专业施工深化设计图、相关专业配合条件图。</w:t>
      </w:r>
    </w:p>
    <w:p w14:paraId="796AB08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（6）虚拟仿真漫游</w:t>
      </w:r>
    </w:p>
    <w:p w14:paraId="0D022E5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投标人利用 BIM 软件模拟设计方案的三维空间，通过人的视角在BIM模型中行走漫游，展现空间环境，及时发现并修改设计中的错误，避免由于事先考虑不周导致成本浪费，有利于设计与管理人员对设计方案进行辅助设计与方案评审，提高设计质量。</w:t>
      </w:r>
    </w:p>
    <w:p w14:paraId="27B9760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施工阶段B</w:t>
      </w:r>
      <w:r w:rsidRPr="0045498A">
        <w:rPr>
          <w:rFonts w:ascii="宋体" w:hAnsi="宋体"/>
          <w:color w:val="auto"/>
          <w:sz w:val="24"/>
          <w:szCs w:val="24"/>
        </w:rPr>
        <w:t>IM</w:t>
      </w:r>
      <w:r w:rsidRPr="0045498A">
        <w:rPr>
          <w:rFonts w:ascii="宋体" w:hAnsi="宋体" w:hint="eastAsia"/>
          <w:color w:val="auto"/>
          <w:sz w:val="24"/>
          <w:szCs w:val="24"/>
        </w:rPr>
        <w:t>应用要求</w:t>
      </w:r>
    </w:p>
    <w:p w14:paraId="10F1FF5B"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总体应用目标</w:t>
      </w:r>
    </w:p>
    <w:p w14:paraId="2EDDEF7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施工阶段应用BIM技术，建立项目施工阶段BIM实施体系及准则，为BIM项目管理提供技术支持，通过信息化管理的手段，提升项目施工精细化管理水平，实现工程实体与BIM信息化技术的同步交付成果，为运营方后期物业运</w:t>
      </w:r>
      <w:proofErr w:type="gramStart"/>
      <w:r w:rsidRPr="0045498A">
        <w:rPr>
          <w:rFonts w:ascii="宋体" w:hAnsi="宋体" w:hint="eastAsia"/>
          <w:sz w:val="24"/>
        </w:rPr>
        <w:t>维提供</w:t>
      </w:r>
      <w:proofErr w:type="gramEnd"/>
      <w:r w:rsidRPr="0045498A">
        <w:rPr>
          <w:rFonts w:ascii="宋体" w:hAnsi="宋体" w:hint="eastAsia"/>
          <w:sz w:val="24"/>
        </w:rPr>
        <w:t>信息化支持，打通全生命周期中</w:t>
      </w:r>
      <w:proofErr w:type="gramStart"/>
      <w:r w:rsidRPr="0045498A">
        <w:rPr>
          <w:rFonts w:ascii="宋体" w:hAnsi="宋体" w:hint="eastAsia"/>
          <w:sz w:val="24"/>
        </w:rPr>
        <w:t>施工至运维</w:t>
      </w:r>
      <w:proofErr w:type="gramEnd"/>
      <w:r w:rsidRPr="0045498A">
        <w:rPr>
          <w:rFonts w:ascii="宋体" w:hAnsi="宋体" w:hint="eastAsia"/>
          <w:sz w:val="24"/>
        </w:rPr>
        <w:t>的BIM应用环节。</w:t>
      </w:r>
    </w:p>
    <w:p w14:paraId="13399FC6"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应用范围</w:t>
      </w:r>
    </w:p>
    <w:p w14:paraId="24B3311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投标人应按以下要求开展施工阶段BIM技术应用，应用范围包括但不限于以下内容：</w:t>
      </w:r>
    </w:p>
    <w:p w14:paraId="096F281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（1）施工组织模拟</w:t>
      </w:r>
    </w:p>
    <w:p w14:paraId="08626B1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基于深化设计模型和施工图、施工组织设计文档等创建施工组织模型，并将工序安排和平面布置等信息与模型关联，指导模型创建和方案交底。工序安排模拟应根据施工内容、工艺选择及配套资源等，明确工序间的搭接、穿插等关系，优化项目工序安排。平面布置模拟应结合施工进度安排，优化各施工阶段的垂直运输机械布置、现场加工车间布置以及施工道路布置等。施工组织模拟 BIM 应用交付成果包括施工组织模型、施工模拟动画、施工组织优化报告。</w:t>
      </w:r>
    </w:p>
    <w:p w14:paraId="42B38F6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（2）施工工艺模拟</w:t>
      </w:r>
    </w:p>
    <w:p w14:paraId="7D9021E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基于施工组织模型和施工图创建施工工艺模型，并将施工工艺信息与模型关联，指导模型创建和方案交底。复杂节点施工工艺模拟应优化节点各构件尺寸、各构件之间的连接方式和空间要求，以及节点的施工顺序。模板工程施工工艺模拟应优化模板数量、类型，支撑系统数量、类型和间距，</w:t>
      </w:r>
      <w:proofErr w:type="gramStart"/>
      <w:r w:rsidRPr="0045498A">
        <w:rPr>
          <w:rFonts w:ascii="宋体" w:hAnsi="宋体" w:hint="eastAsia"/>
          <w:sz w:val="24"/>
        </w:rPr>
        <w:t>支设流程</w:t>
      </w:r>
      <w:proofErr w:type="gramEnd"/>
      <w:r w:rsidRPr="0045498A">
        <w:rPr>
          <w:rFonts w:ascii="宋体" w:hAnsi="宋体" w:hint="eastAsia"/>
          <w:sz w:val="24"/>
        </w:rPr>
        <w:t>和定位，结构预埋件定位等。施工工艺模拟 BIM 应用交付成果包括施工工艺模型、施工模拟分析报告，利用 BIM模型进行可视化展示和施工交底。</w:t>
      </w:r>
    </w:p>
    <w:p w14:paraId="1D7268F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3</w:t>
      </w:r>
      <w:r w:rsidRPr="0045498A">
        <w:rPr>
          <w:rFonts w:ascii="宋体" w:hAnsi="宋体" w:hint="eastAsia"/>
          <w:sz w:val="24"/>
        </w:rPr>
        <w:t>）设备与材料管理</w:t>
      </w:r>
    </w:p>
    <w:p w14:paraId="493102D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在深化设计模型中添加或完善楼层信息、构件信息、进度表、报表等设备与材料信息。建立可以实现设备与材料管理和施工进度协同的建筑信息模型。</w:t>
      </w:r>
    </w:p>
    <w:p w14:paraId="78463C9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4</w:t>
      </w:r>
      <w:r w:rsidRPr="0045498A">
        <w:rPr>
          <w:rFonts w:ascii="宋体" w:hAnsi="宋体" w:hint="eastAsia"/>
          <w:sz w:val="24"/>
        </w:rPr>
        <w:t>）质量与安全管理</w:t>
      </w:r>
    </w:p>
    <w:p w14:paraId="398FEBF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利用建筑信息模型的可视化功能准确、清晰地向施工人员展示及传递建筑设计意图。同时，可通过施工过程模拟，帮助施工人员理解、熟悉施工工艺和流程，并识别危险源，避免由于理解偏差造成施工质量与安全问题。</w:t>
      </w:r>
    </w:p>
    <w:p w14:paraId="615D0F1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5</w:t>
      </w:r>
      <w:r w:rsidRPr="0045498A">
        <w:rPr>
          <w:rFonts w:ascii="宋体" w:hAnsi="宋体" w:hint="eastAsia"/>
          <w:sz w:val="24"/>
        </w:rPr>
        <w:t>）三维技术交底</w:t>
      </w:r>
    </w:p>
    <w:p w14:paraId="4A19D34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利用深化设计模型，附带施工工艺、工序等信息，进行分项工程全过程模拟的可视化技术交底，以展现措施关键节点和关键工序的衔接，提早预警危险源，从而提高项目施工技术管理水平和施工效率。</w:t>
      </w:r>
    </w:p>
    <w:p w14:paraId="5BCC364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6</w:t>
      </w:r>
      <w:r w:rsidRPr="0045498A">
        <w:rPr>
          <w:rFonts w:ascii="宋体" w:hAnsi="宋体" w:hint="eastAsia"/>
          <w:sz w:val="24"/>
        </w:rPr>
        <w:t>）三维进度模拟及分析</w:t>
      </w:r>
    </w:p>
    <w:p w14:paraId="444AD43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在工程项目施工之前对不同施工方案进行三维进度模拟，提前发现方案中的问题，逐一修改，并提前制定应对措施，使施工方案和进度计划最优，同时用来指导实际的项目施工，保证项目的顺利完成。</w:t>
      </w:r>
    </w:p>
    <w:p w14:paraId="05BC82C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7</w:t>
      </w:r>
      <w:r w:rsidRPr="0045498A">
        <w:rPr>
          <w:rFonts w:ascii="宋体" w:hAnsi="宋体" w:hint="eastAsia"/>
          <w:sz w:val="24"/>
        </w:rPr>
        <w:t>）</w:t>
      </w:r>
      <w:proofErr w:type="gramStart"/>
      <w:r w:rsidRPr="0045498A">
        <w:rPr>
          <w:rFonts w:ascii="宋体" w:hAnsi="宋体" w:hint="eastAsia"/>
          <w:sz w:val="24"/>
        </w:rPr>
        <w:t>二维码应用</w:t>
      </w:r>
      <w:proofErr w:type="gramEnd"/>
    </w:p>
    <w:p w14:paraId="2BF1A74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通过在模型中扫描二维码，实现设施设备信息的施工顺序码、规格型号、关键参数、施工单位、生产商、供应商、生命周期、检修记录等属性信息快速查询。</w:t>
      </w:r>
    </w:p>
    <w:p w14:paraId="70AAC486"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竣工验收阶段</w:t>
      </w:r>
    </w:p>
    <w:p w14:paraId="62424D4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1</w:t>
      </w:r>
      <w:r w:rsidRPr="0045498A">
        <w:rPr>
          <w:rFonts w:ascii="宋体" w:hAnsi="宋体" w:hint="eastAsia"/>
          <w:sz w:val="24"/>
        </w:rPr>
        <w:t>）将竣工验收信息添加到施工作业模型，并根据项目实际情况进行修正，以保证模型与工程实体的一致性、完整性、准确性，进而形成竣工模型，以满足交付及运营基本要求。</w:t>
      </w:r>
    </w:p>
    <w:p w14:paraId="249C704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2</w:t>
      </w:r>
      <w:r w:rsidRPr="0045498A">
        <w:rPr>
          <w:rFonts w:ascii="宋体" w:hAnsi="宋体" w:hint="eastAsia"/>
          <w:sz w:val="24"/>
        </w:rPr>
        <w:t>）在竣工模型的基础上，结合运营管理对模型的深度要求，增加模型运</w:t>
      </w:r>
      <w:proofErr w:type="gramStart"/>
      <w:r w:rsidRPr="0045498A">
        <w:rPr>
          <w:rFonts w:ascii="宋体" w:hAnsi="宋体" w:hint="eastAsia"/>
          <w:sz w:val="24"/>
        </w:rPr>
        <w:t>维阶段</w:t>
      </w:r>
      <w:proofErr w:type="gramEnd"/>
      <w:r w:rsidRPr="0045498A">
        <w:rPr>
          <w:rFonts w:ascii="宋体" w:hAnsi="宋体" w:hint="eastAsia"/>
          <w:sz w:val="24"/>
        </w:rPr>
        <w:t>相关信息，以达到建造阶段模型数据有效传递、共享</w:t>
      </w:r>
      <w:proofErr w:type="gramStart"/>
      <w:r w:rsidRPr="0045498A">
        <w:rPr>
          <w:rFonts w:ascii="宋体" w:hAnsi="宋体" w:hint="eastAsia"/>
          <w:sz w:val="24"/>
        </w:rPr>
        <w:t>至运维阶段</w:t>
      </w:r>
      <w:proofErr w:type="gramEnd"/>
      <w:r w:rsidRPr="0045498A">
        <w:rPr>
          <w:rFonts w:ascii="宋体" w:hAnsi="宋体" w:hint="eastAsia"/>
          <w:sz w:val="24"/>
        </w:rPr>
        <w:t>使用的目标，为运营管理提供准确模型和相关数据。</w:t>
      </w:r>
    </w:p>
    <w:p w14:paraId="208CC79D" w14:textId="77777777" w:rsidR="00616558" w:rsidRPr="0045498A" w:rsidRDefault="00000000">
      <w:pPr>
        <w:snapToGrid w:val="0"/>
        <w:spacing w:line="360" w:lineRule="auto"/>
        <w:ind w:firstLineChars="200" w:firstLine="480"/>
        <w:rPr>
          <w:rFonts w:ascii="宋体" w:hAnsi="宋体"/>
          <w:sz w:val="24"/>
        </w:rPr>
        <w:sectPr w:rsidR="00616558" w:rsidRPr="0045498A">
          <w:pgSz w:w="11910" w:h="16840"/>
          <w:pgMar w:top="1580" w:right="1260" w:bottom="1180" w:left="1300" w:header="0" w:footer="995" w:gutter="0"/>
          <w:cols w:space="720"/>
        </w:sectPr>
      </w:pPr>
      <w:r w:rsidRPr="0045498A">
        <w:rPr>
          <w:rFonts w:ascii="宋体" w:hAnsi="宋体" w:hint="eastAsia"/>
          <w:sz w:val="24"/>
        </w:rPr>
        <w:t>（</w:t>
      </w:r>
      <w:r w:rsidRPr="0045498A">
        <w:rPr>
          <w:rFonts w:ascii="宋体" w:hAnsi="宋体"/>
          <w:sz w:val="24"/>
        </w:rPr>
        <w:t>3</w:t>
      </w:r>
      <w:r w:rsidRPr="0045498A">
        <w:rPr>
          <w:rFonts w:ascii="宋体" w:hAnsi="宋体" w:hint="eastAsia"/>
          <w:sz w:val="24"/>
        </w:rPr>
        <w:t>）将竣工预验收和竣工验收合格后形成的验收信息和资料附加或关联到其中，形成竣工验收模型，并负责 BIM 试运营和移交。</w:t>
      </w:r>
    </w:p>
    <w:p w14:paraId="53D287C2"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lastRenderedPageBreak/>
        <w:t>交付成果和要求</w:t>
      </w:r>
    </w:p>
    <w:p w14:paraId="4EAF0062"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cs="微软雅黑" w:hint="eastAsia"/>
          <w:sz w:val="24"/>
          <w:szCs w:val="24"/>
        </w:rPr>
        <w:t>交付成果基本要求</w:t>
      </w:r>
    </w:p>
    <w:p w14:paraId="2AAE8073"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微软雅黑" w:hint="eastAsia"/>
          <w:sz w:val="24"/>
          <w:szCs w:val="24"/>
        </w:rPr>
        <w:t>管理要求</w:t>
      </w:r>
    </w:p>
    <w:p w14:paraId="0382953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（1）在项目BIM实施前期准备阶段，投标人应制定项目BIM模型的应用实施方案并规定各阶段成果应用，交予招标人及其委托的第三方（监理、BIM咨询单位等）审查备案。</w:t>
      </w:r>
    </w:p>
    <w:p w14:paraId="43A440B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（2）在项目各阶段实施前，投标人应进行BIM技术交底，明确本项目BIM实施目标及成果交付要求。</w:t>
      </w:r>
    </w:p>
    <w:p w14:paraId="0F539A7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（3）在BIM工作实施前，投标人根据项目BIM模型与应用实施方案，制定本单位在合同范围内所定的</w:t>
      </w:r>
      <w:r w:rsidRPr="0045498A">
        <w:rPr>
          <w:rFonts w:ascii="宋体" w:hAnsi="宋体"/>
          <w:sz w:val="24"/>
        </w:rPr>
        <w:t>BIM</w:t>
      </w:r>
      <w:r w:rsidRPr="0045498A">
        <w:rPr>
          <w:rFonts w:ascii="宋体" w:hAnsi="宋体" w:hint="eastAsia"/>
          <w:sz w:val="24"/>
        </w:rPr>
        <w:t>成果的交付计划。</w:t>
      </w:r>
    </w:p>
    <w:p w14:paraId="155A06AD"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微软雅黑" w:hint="eastAsia"/>
          <w:sz w:val="24"/>
          <w:szCs w:val="24"/>
        </w:rPr>
        <w:t>成果一致性要求</w:t>
      </w:r>
    </w:p>
    <w:p w14:paraId="39BED1D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w:t>
      </w:r>
      <w:r w:rsidRPr="0045498A">
        <w:rPr>
          <w:rFonts w:ascii="宋体" w:hAnsi="宋体"/>
          <w:sz w:val="24"/>
        </w:rPr>
        <w:t>1</w:t>
      </w:r>
      <w:r w:rsidRPr="0045498A">
        <w:rPr>
          <w:rFonts w:ascii="宋体" w:hAnsi="宋体" w:hint="eastAsia"/>
          <w:sz w:val="24"/>
        </w:rPr>
        <w:t>）投标人应按规定选用项目BIM实施软件。各阶段的成果内容，投标人应按合同及发包人相关要求进行，按规定提交统一格式的成果文件（数据），以保证最终BIM模型数据的正确性及完整性。</w:t>
      </w:r>
    </w:p>
    <w:p w14:paraId="688531B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（2）项目BIM应用在实施过程中，每个阶段提交的BIM模型成果，应与</w:t>
      </w:r>
      <w:proofErr w:type="gramStart"/>
      <w:r w:rsidRPr="0045498A">
        <w:rPr>
          <w:rFonts w:ascii="宋体" w:hAnsi="宋体" w:hint="eastAsia"/>
          <w:sz w:val="24"/>
        </w:rPr>
        <w:t>同期项目</w:t>
      </w:r>
      <w:proofErr w:type="gramEnd"/>
      <w:r w:rsidRPr="0045498A">
        <w:rPr>
          <w:rFonts w:ascii="宋体" w:hAnsi="宋体" w:hint="eastAsia"/>
          <w:sz w:val="24"/>
        </w:rPr>
        <w:t>的实施进度保持同步。</w:t>
      </w:r>
    </w:p>
    <w:p w14:paraId="58D243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（3）投标人需确保移交成果的完整性。除特殊要求外，不应存在缺项、漏项、模型精度不足、</w:t>
      </w:r>
      <w:proofErr w:type="gramStart"/>
      <w:r w:rsidRPr="0045498A">
        <w:rPr>
          <w:rFonts w:ascii="宋体" w:hAnsi="宋体" w:hint="eastAsia"/>
          <w:sz w:val="24"/>
        </w:rPr>
        <w:t>图模不</w:t>
      </w:r>
      <w:proofErr w:type="gramEnd"/>
      <w:r w:rsidRPr="0045498A">
        <w:rPr>
          <w:rFonts w:ascii="宋体" w:hAnsi="宋体" w:hint="eastAsia"/>
          <w:sz w:val="24"/>
        </w:rPr>
        <w:t>一致等问题。</w:t>
      </w:r>
    </w:p>
    <w:p w14:paraId="1583D4C1"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微软雅黑" w:hint="eastAsia"/>
          <w:sz w:val="24"/>
          <w:szCs w:val="24"/>
        </w:rPr>
        <w:t>精度要求</w:t>
      </w:r>
    </w:p>
    <w:p w14:paraId="7D85AFC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（1）各阶段提交的BIM模型及成果信息应符合本《发包人要求》第6</w:t>
      </w:r>
      <w:r w:rsidRPr="0045498A">
        <w:rPr>
          <w:rFonts w:ascii="宋体" w:hAnsi="宋体"/>
          <w:sz w:val="24"/>
        </w:rPr>
        <w:t>.3.5</w:t>
      </w:r>
      <w:r w:rsidRPr="0045498A">
        <w:rPr>
          <w:rFonts w:ascii="宋体" w:hAnsi="宋体" w:hint="eastAsia"/>
          <w:sz w:val="24"/>
        </w:rPr>
        <w:t>条</w:t>
      </w:r>
      <w:proofErr w:type="gramStart"/>
      <w:r w:rsidRPr="0045498A">
        <w:rPr>
          <w:rFonts w:ascii="宋体" w:hAnsi="宋体" w:hint="eastAsia"/>
          <w:sz w:val="24"/>
        </w:rPr>
        <w:t>关于关于</w:t>
      </w:r>
      <w:proofErr w:type="gramEnd"/>
      <w:r w:rsidRPr="0045498A">
        <w:rPr>
          <w:rFonts w:ascii="宋体" w:hAnsi="宋体" w:hint="eastAsia"/>
          <w:sz w:val="24"/>
        </w:rPr>
        <w:t>各阶段BIM模型精细度的要求。</w:t>
      </w:r>
    </w:p>
    <w:p w14:paraId="0CB6347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（2）BIM模型和模型构件的形状和尺寸及模型构件之间的位置关系准确无误，并且可以根据项目实施进度深化及补充，最终反映实际施工成果。</w:t>
      </w:r>
    </w:p>
    <w:p w14:paraId="4506E5AF" w14:textId="77777777" w:rsidR="00616558" w:rsidRPr="0045498A" w:rsidRDefault="00000000" w:rsidP="00FC4798">
      <w:pPr>
        <w:pStyle w:val="4"/>
        <w:spacing w:before="0" w:after="0" w:line="360" w:lineRule="auto"/>
        <w:ind w:left="425"/>
        <w:rPr>
          <w:rFonts w:ascii="宋体" w:hAnsi="宋体"/>
          <w:sz w:val="24"/>
          <w:szCs w:val="24"/>
        </w:rPr>
      </w:pPr>
      <w:r w:rsidRPr="0045498A">
        <w:rPr>
          <w:rFonts w:ascii="宋体" w:hAnsi="宋体" w:cs="微软雅黑" w:hint="eastAsia"/>
          <w:sz w:val="24"/>
          <w:szCs w:val="24"/>
        </w:rPr>
        <w:t>提交进度要求</w:t>
      </w:r>
    </w:p>
    <w:p w14:paraId="34A656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（1）投标人提交BIM模型及应用成果应根据项目实施阶段节点进行交付。</w:t>
      </w:r>
    </w:p>
    <w:p w14:paraId="6C50290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（2）投标人根据招标人及其委托的第三方（监理、BIM咨询单位等）的复查意见完成BIM模型的修改和整理后，应在规定的时间内重新提交成果。</w:t>
      </w:r>
    </w:p>
    <w:p w14:paraId="5A4235C0" w14:textId="77777777" w:rsidR="00616558" w:rsidRPr="0045498A" w:rsidRDefault="00000000" w:rsidP="00FC4798">
      <w:pPr>
        <w:pStyle w:val="3"/>
        <w:spacing w:before="0" w:after="0" w:line="360" w:lineRule="auto"/>
        <w:ind w:left="142" w:hanging="142"/>
        <w:rPr>
          <w:rFonts w:ascii="宋体" w:hAnsi="宋体"/>
          <w:sz w:val="24"/>
          <w:szCs w:val="24"/>
        </w:rPr>
      </w:pPr>
      <w:r w:rsidRPr="0045498A">
        <w:rPr>
          <w:rFonts w:ascii="宋体" w:hAnsi="宋体" w:hint="eastAsia"/>
          <w:sz w:val="24"/>
          <w:szCs w:val="24"/>
        </w:rPr>
        <w:t>B</w:t>
      </w:r>
      <w:r w:rsidRPr="0045498A">
        <w:rPr>
          <w:rFonts w:ascii="宋体" w:hAnsi="宋体"/>
          <w:sz w:val="24"/>
          <w:szCs w:val="24"/>
        </w:rPr>
        <w:t>IM</w:t>
      </w:r>
      <w:r w:rsidRPr="0045498A">
        <w:rPr>
          <w:rFonts w:ascii="宋体" w:hAnsi="宋体" w:cs="微软雅黑" w:hint="eastAsia"/>
          <w:sz w:val="24"/>
          <w:szCs w:val="24"/>
        </w:rPr>
        <w:t>交付物</w:t>
      </w:r>
    </w:p>
    <w:p w14:paraId="3914E2B0"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项目实施中，应从实际需求出发，遵循“按需建模”原则进行建模。通过BIM模型解决管线碰撞等问题，优化设计、设计分析，并能提供模型任意位置的剖面图，通过3D模拟等技术实现建筑的可视化，提前反映建筑难点部位。</w:t>
      </w:r>
    </w:p>
    <w:p w14:paraId="71494E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交付成果应包括建筑、结构、机电等BIM模型和与之对应的图纸、文档、工程表格、以及综合协调、模拟分析、可视化、漫游、大型设备进场模拟等成果文件。根据项目进度，提供施工图设计模型、施工过程模型、竣工验收模型。提交模型时，同步提交《图纸问题报告》，在建模过程同时审核图纸中是否存在问题，形成详细报告和改进意见。交付成果以经招标人及其委托的第三方（监理、BIM咨询单位等）审查通过的版本为准。交付成果包括但不限于如下内容：</w:t>
      </w:r>
    </w:p>
    <w:p w14:paraId="2464F35F" w14:textId="77777777" w:rsidR="00616558" w:rsidRPr="0045498A" w:rsidRDefault="00000000">
      <w:pPr>
        <w:pStyle w:val="4"/>
        <w:spacing w:before="0" w:after="0" w:line="360" w:lineRule="auto"/>
        <w:ind w:left="0" w:firstLine="0"/>
        <w:rPr>
          <w:rFonts w:ascii="宋体" w:hAnsi="宋体"/>
          <w:sz w:val="24"/>
          <w:szCs w:val="24"/>
        </w:rPr>
      </w:pPr>
      <w:r w:rsidRPr="0045498A">
        <w:rPr>
          <w:rFonts w:ascii="宋体" w:hAnsi="宋体" w:hint="eastAsia"/>
          <w:sz w:val="24"/>
          <w:szCs w:val="24"/>
        </w:rPr>
        <w:t>BIM应用成果</w:t>
      </w:r>
    </w:p>
    <w:p w14:paraId="4FD95C4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（1）设计阶段BIM应用成果</w:t>
      </w:r>
    </w:p>
    <w:p w14:paraId="60B6D92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各个设计阶段利用相应模型进行的BIM应用成果，包括管线综合、碰撞检查报告、净空优化分析报告、机电优化与支吊架、室外工程及管线综合等。</w:t>
      </w:r>
    </w:p>
    <w:p w14:paraId="61B68011"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（2）施工阶段BIM应用成果</w:t>
      </w:r>
    </w:p>
    <w:p w14:paraId="315BFB85" w14:textId="77777777" w:rsidR="00616558" w:rsidRPr="0045498A" w:rsidRDefault="00000000">
      <w:pPr>
        <w:spacing w:line="360" w:lineRule="auto"/>
        <w:ind w:firstLineChars="300" w:firstLine="720"/>
        <w:rPr>
          <w:rFonts w:ascii="宋体" w:hAnsi="宋体"/>
          <w:sz w:val="24"/>
        </w:rPr>
      </w:pPr>
      <w:r w:rsidRPr="0045498A">
        <w:rPr>
          <w:rFonts w:ascii="宋体" w:hAnsi="宋体" w:hint="eastAsia"/>
          <w:sz w:val="24"/>
        </w:rPr>
        <w:t>施工阶段BIM模型基础上进行BIM相关应用，成果包括施工进度模拟、施工工艺模拟、施工方案模拟、工程协调、工程节点三维视频展示等。</w:t>
      </w:r>
    </w:p>
    <w:p w14:paraId="30CCF402" w14:textId="77777777" w:rsidR="00616558" w:rsidRPr="0045498A" w:rsidRDefault="00000000">
      <w:pPr>
        <w:pStyle w:val="4"/>
        <w:spacing w:before="0" w:after="0" w:line="360" w:lineRule="auto"/>
        <w:ind w:left="0" w:firstLine="0"/>
        <w:rPr>
          <w:rFonts w:ascii="宋体" w:hAnsi="宋体"/>
          <w:sz w:val="24"/>
          <w:szCs w:val="24"/>
        </w:rPr>
      </w:pPr>
      <w:r w:rsidRPr="0045498A">
        <w:rPr>
          <w:rFonts w:ascii="宋体" w:hAnsi="宋体" w:hint="eastAsia"/>
          <w:sz w:val="24"/>
          <w:szCs w:val="24"/>
        </w:rPr>
        <w:t>成果</w:t>
      </w:r>
      <w:r w:rsidRPr="0045498A">
        <w:rPr>
          <w:rFonts w:ascii="宋体" w:hAnsi="宋体" w:cs="微软雅黑" w:hint="eastAsia"/>
          <w:sz w:val="24"/>
          <w:szCs w:val="24"/>
        </w:rPr>
        <w:t>交付</w:t>
      </w:r>
      <w:r w:rsidRPr="0045498A">
        <w:rPr>
          <w:rFonts w:ascii="宋体" w:hAnsi="宋体" w:hint="eastAsia"/>
          <w:sz w:val="24"/>
          <w:szCs w:val="24"/>
        </w:rPr>
        <w:t>格式</w:t>
      </w:r>
    </w:p>
    <w:p w14:paraId="41B9D0A3" w14:textId="77777777" w:rsidR="00616558" w:rsidRPr="0045498A" w:rsidRDefault="00000000">
      <w:pPr>
        <w:pStyle w:val="a1"/>
        <w:spacing w:after="0" w:line="360" w:lineRule="auto"/>
        <w:ind w:firstLineChars="200" w:firstLine="480"/>
        <w:rPr>
          <w:rFonts w:ascii="宋体" w:eastAsia="宋体" w:hAnsi="宋体"/>
          <w:sz w:val="24"/>
        </w:rPr>
      </w:pPr>
      <w:r w:rsidRPr="0045498A">
        <w:rPr>
          <w:rFonts w:ascii="宋体" w:eastAsia="宋体" w:hAnsi="宋体" w:hint="eastAsia"/>
          <w:sz w:val="24"/>
        </w:rPr>
        <w:t>BIM应用成果需提供原始模型文件格式，对于同类文件格式应使用统一的版本，常用数据交付格式如见附下表所示。</w:t>
      </w:r>
    </w:p>
    <w:p w14:paraId="1085C3E0" w14:textId="77777777" w:rsidR="00616558" w:rsidRPr="0045498A" w:rsidRDefault="00000000">
      <w:pPr>
        <w:spacing w:line="360" w:lineRule="auto"/>
        <w:jc w:val="center"/>
        <w:rPr>
          <w:rFonts w:ascii="宋体" w:hAnsi="宋体"/>
          <w:b/>
          <w:sz w:val="24"/>
        </w:rPr>
      </w:pPr>
      <w:bookmarkStart w:id="17" w:name="_Toc13978"/>
      <w:bookmarkStart w:id="18" w:name="_Toc514784524"/>
      <w:bookmarkStart w:id="19" w:name="_Toc514784830"/>
      <w:r w:rsidRPr="0045498A">
        <w:rPr>
          <w:rFonts w:ascii="宋体" w:hAnsi="宋体" w:hint="eastAsia"/>
          <w:b/>
          <w:sz w:val="24"/>
        </w:rPr>
        <w:t>成果交付格式</w:t>
      </w:r>
      <w:bookmarkEnd w:id="17"/>
      <w:bookmarkEnd w:id="18"/>
      <w:bookmarkEnd w:id="19"/>
      <w:r w:rsidRPr="0045498A">
        <w:rPr>
          <w:rFonts w:ascii="宋体" w:hAnsi="宋体" w:hint="eastAsia"/>
          <w:b/>
          <w:sz w:val="24"/>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834"/>
        <w:gridCol w:w="2293"/>
        <w:gridCol w:w="1376"/>
        <w:gridCol w:w="2806"/>
      </w:tblGrid>
      <w:tr w:rsidR="00616558" w:rsidRPr="0045498A" w14:paraId="58729146" w14:textId="77777777">
        <w:trPr>
          <w:trHeight w:val="384"/>
          <w:jc w:val="center"/>
        </w:trPr>
        <w:tc>
          <w:tcPr>
            <w:tcW w:w="881" w:type="dxa"/>
          </w:tcPr>
          <w:p w14:paraId="76B826DD" w14:textId="77777777" w:rsidR="00616558" w:rsidRPr="0045498A" w:rsidRDefault="00000000">
            <w:pPr>
              <w:spacing w:line="360" w:lineRule="auto"/>
              <w:jc w:val="center"/>
              <w:rPr>
                <w:rFonts w:ascii="宋体" w:hAnsi="宋体" w:cs="仿宋"/>
                <w:b/>
                <w:sz w:val="24"/>
              </w:rPr>
            </w:pPr>
            <w:r w:rsidRPr="0045498A">
              <w:rPr>
                <w:rFonts w:ascii="宋体" w:hAnsi="宋体" w:cs="仿宋" w:hint="eastAsia"/>
                <w:b/>
                <w:sz w:val="24"/>
              </w:rPr>
              <w:t>序号</w:t>
            </w:r>
          </w:p>
        </w:tc>
        <w:tc>
          <w:tcPr>
            <w:tcW w:w="1834" w:type="dxa"/>
          </w:tcPr>
          <w:p w14:paraId="11B7D8DC" w14:textId="77777777" w:rsidR="00616558" w:rsidRPr="0045498A" w:rsidRDefault="00000000">
            <w:pPr>
              <w:spacing w:line="360" w:lineRule="auto"/>
              <w:jc w:val="center"/>
              <w:rPr>
                <w:rFonts w:ascii="宋体" w:hAnsi="宋体" w:cs="仿宋"/>
                <w:b/>
                <w:sz w:val="24"/>
              </w:rPr>
            </w:pPr>
            <w:r w:rsidRPr="0045498A">
              <w:rPr>
                <w:rFonts w:ascii="宋体" w:hAnsi="宋体" w:cs="仿宋" w:hint="eastAsia"/>
                <w:b/>
                <w:sz w:val="24"/>
              </w:rPr>
              <w:t>内容</w:t>
            </w:r>
          </w:p>
        </w:tc>
        <w:tc>
          <w:tcPr>
            <w:tcW w:w="2293" w:type="dxa"/>
          </w:tcPr>
          <w:p w14:paraId="55072B0A" w14:textId="77777777" w:rsidR="00616558" w:rsidRPr="0045498A" w:rsidRDefault="00000000">
            <w:pPr>
              <w:spacing w:line="360" w:lineRule="auto"/>
              <w:jc w:val="center"/>
              <w:rPr>
                <w:rFonts w:ascii="宋体" w:hAnsi="宋体" w:cs="仿宋"/>
                <w:b/>
                <w:sz w:val="24"/>
              </w:rPr>
            </w:pPr>
            <w:r w:rsidRPr="0045498A">
              <w:rPr>
                <w:rFonts w:ascii="宋体" w:hAnsi="宋体" w:cs="仿宋" w:hint="eastAsia"/>
                <w:b/>
                <w:sz w:val="24"/>
              </w:rPr>
              <w:t>软件</w:t>
            </w:r>
          </w:p>
        </w:tc>
        <w:tc>
          <w:tcPr>
            <w:tcW w:w="1376" w:type="dxa"/>
          </w:tcPr>
          <w:p w14:paraId="0F0B048A" w14:textId="77777777" w:rsidR="00616558" w:rsidRPr="0045498A" w:rsidRDefault="00000000">
            <w:pPr>
              <w:spacing w:line="360" w:lineRule="auto"/>
              <w:jc w:val="center"/>
              <w:rPr>
                <w:rFonts w:ascii="宋体" w:hAnsi="宋体" w:cs="仿宋"/>
                <w:b/>
                <w:sz w:val="24"/>
              </w:rPr>
            </w:pPr>
            <w:r w:rsidRPr="0045498A">
              <w:rPr>
                <w:rFonts w:ascii="宋体" w:hAnsi="宋体" w:cs="仿宋" w:hint="eastAsia"/>
                <w:b/>
                <w:sz w:val="24"/>
              </w:rPr>
              <w:t>交付格式</w:t>
            </w:r>
          </w:p>
        </w:tc>
        <w:tc>
          <w:tcPr>
            <w:tcW w:w="2806" w:type="dxa"/>
          </w:tcPr>
          <w:p w14:paraId="34B9D6CF" w14:textId="77777777" w:rsidR="00616558" w:rsidRPr="0045498A" w:rsidRDefault="00000000">
            <w:pPr>
              <w:spacing w:line="360" w:lineRule="auto"/>
              <w:jc w:val="center"/>
              <w:rPr>
                <w:rFonts w:ascii="宋体" w:hAnsi="宋体" w:cs="仿宋"/>
                <w:b/>
                <w:sz w:val="24"/>
              </w:rPr>
            </w:pPr>
            <w:r w:rsidRPr="0045498A">
              <w:rPr>
                <w:rFonts w:ascii="宋体" w:hAnsi="宋体" w:cs="仿宋" w:hint="eastAsia"/>
                <w:b/>
                <w:sz w:val="24"/>
              </w:rPr>
              <w:t>备注</w:t>
            </w:r>
          </w:p>
        </w:tc>
      </w:tr>
      <w:tr w:rsidR="00616558" w:rsidRPr="0045498A" w14:paraId="011A65CB" w14:textId="77777777">
        <w:trPr>
          <w:trHeight w:val="398"/>
          <w:jc w:val="center"/>
        </w:trPr>
        <w:tc>
          <w:tcPr>
            <w:tcW w:w="881" w:type="dxa"/>
            <w:vMerge w:val="restart"/>
            <w:vAlign w:val="center"/>
          </w:tcPr>
          <w:p w14:paraId="3E3C0E9C"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1</w:t>
            </w:r>
          </w:p>
        </w:tc>
        <w:tc>
          <w:tcPr>
            <w:tcW w:w="1834" w:type="dxa"/>
            <w:vMerge w:val="restart"/>
            <w:vAlign w:val="center"/>
          </w:tcPr>
          <w:p w14:paraId="21094AE5"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模型成果文件</w:t>
            </w:r>
          </w:p>
        </w:tc>
        <w:tc>
          <w:tcPr>
            <w:tcW w:w="2293" w:type="dxa"/>
          </w:tcPr>
          <w:p w14:paraId="7C8AECF5"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Autodesk Revit</w:t>
            </w:r>
          </w:p>
        </w:tc>
        <w:tc>
          <w:tcPr>
            <w:tcW w:w="1376" w:type="dxa"/>
            <w:vAlign w:val="center"/>
          </w:tcPr>
          <w:p w14:paraId="78B174ED"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w:t>
            </w:r>
            <w:proofErr w:type="spellStart"/>
            <w:r w:rsidRPr="0045498A">
              <w:rPr>
                <w:rFonts w:ascii="宋体" w:hAnsi="宋体" w:cs="仿宋" w:hint="eastAsia"/>
                <w:sz w:val="24"/>
              </w:rPr>
              <w:t>rvt</w:t>
            </w:r>
            <w:proofErr w:type="spellEnd"/>
          </w:p>
        </w:tc>
        <w:tc>
          <w:tcPr>
            <w:tcW w:w="2806" w:type="dxa"/>
          </w:tcPr>
          <w:p w14:paraId="4ADFA71A"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r>
      <w:tr w:rsidR="00616558" w:rsidRPr="0045498A" w14:paraId="48073F89" w14:textId="77777777">
        <w:trPr>
          <w:trHeight w:val="398"/>
          <w:jc w:val="center"/>
        </w:trPr>
        <w:tc>
          <w:tcPr>
            <w:tcW w:w="881" w:type="dxa"/>
            <w:vMerge/>
            <w:vAlign w:val="center"/>
          </w:tcPr>
          <w:p w14:paraId="6CBFCBF3" w14:textId="77777777" w:rsidR="00616558" w:rsidRPr="0045498A" w:rsidRDefault="00616558">
            <w:pPr>
              <w:spacing w:line="360" w:lineRule="auto"/>
              <w:jc w:val="center"/>
              <w:rPr>
                <w:rFonts w:ascii="宋体" w:hAnsi="宋体" w:cs="仿宋"/>
                <w:sz w:val="24"/>
              </w:rPr>
            </w:pPr>
          </w:p>
        </w:tc>
        <w:tc>
          <w:tcPr>
            <w:tcW w:w="1834" w:type="dxa"/>
            <w:vMerge/>
            <w:vAlign w:val="center"/>
          </w:tcPr>
          <w:p w14:paraId="150013C1" w14:textId="77777777" w:rsidR="00616558" w:rsidRPr="0045498A" w:rsidRDefault="00616558">
            <w:pPr>
              <w:spacing w:line="360" w:lineRule="auto"/>
              <w:jc w:val="center"/>
              <w:rPr>
                <w:rFonts w:ascii="宋体" w:hAnsi="宋体" w:cs="仿宋"/>
                <w:sz w:val="24"/>
              </w:rPr>
            </w:pPr>
          </w:p>
        </w:tc>
        <w:tc>
          <w:tcPr>
            <w:tcW w:w="2293" w:type="dxa"/>
          </w:tcPr>
          <w:p w14:paraId="3F029679"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Tekla</w:t>
            </w:r>
          </w:p>
        </w:tc>
        <w:tc>
          <w:tcPr>
            <w:tcW w:w="1376" w:type="dxa"/>
            <w:vAlign w:val="center"/>
          </w:tcPr>
          <w:p w14:paraId="6153851C"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*.DB1</w:t>
            </w:r>
          </w:p>
        </w:tc>
        <w:tc>
          <w:tcPr>
            <w:tcW w:w="2806" w:type="dxa"/>
          </w:tcPr>
          <w:p w14:paraId="5C266540"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r>
      <w:tr w:rsidR="00616558" w:rsidRPr="0045498A" w14:paraId="7D060944" w14:textId="77777777">
        <w:trPr>
          <w:trHeight w:val="784"/>
          <w:jc w:val="center"/>
        </w:trPr>
        <w:tc>
          <w:tcPr>
            <w:tcW w:w="881" w:type="dxa"/>
            <w:vAlign w:val="center"/>
          </w:tcPr>
          <w:p w14:paraId="591D4B33"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2</w:t>
            </w:r>
          </w:p>
        </w:tc>
        <w:tc>
          <w:tcPr>
            <w:tcW w:w="1834" w:type="dxa"/>
            <w:vAlign w:val="center"/>
          </w:tcPr>
          <w:p w14:paraId="53DADAF6"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浏览审核文件</w:t>
            </w:r>
          </w:p>
        </w:tc>
        <w:tc>
          <w:tcPr>
            <w:tcW w:w="2293" w:type="dxa"/>
          </w:tcPr>
          <w:p w14:paraId="0E0EFDBD"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Autodesk Navisworks</w:t>
            </w:r>
          </w:p>
        </w:tc>
        <w:tc>
          <w:tcPr>
            <w:tcW w:w="1376" w:type="dxa"/>
            <w:vAlign w:val="center"/>
          </w:tcPr>
          <w:p w14:paraId="7029047D"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w:t>
            </w:r>
            <w:proofErr w:type="spellStart"/>
            <w:r w:rsidRPr="0045498A">
              <w:rPr>
                <w:rFonts w:ascii="宋体" w:hAnsi="宋体" w:cs="仿宋" w:hint="eastAsia"/>
                <w:sz w:val="24"/>
              </w:rPr>
              <w:t>nwd</w:t>
            </w:r>
            <w:proofErr w:type="spellEnd"/>
          </w:p>
        </w:tc>
        <w:tc>
          <w:tcPr>
            <w:tcW w:w="2806" w:type="dxa"/>
          </w:tcPr>
          <w:p w14:paraId="709E1E87"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r>
      <w:tr w:rsidR="00616558" w:rsidRPr="0045498A" w14:paraId="4E8DB073" w14:textId="77777777">
        <w:trPr>
          <w:trHeight w:val="595"/>
          <w:jc w:val="center"/>
        </w:trPr>
        <w:tc>
          <w:tcPr>
            <w:tcW w:w="881" w:type="dxa"/>
            <w:vMerge w:val="restart"/>
            <w:vAlign w:val="center"/>
          </w:tcPr>
          <w:p w14:paraId="6B9E6904"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3</w:t>
            </w:r>
          </w:p>
        </w:tc>
        <w:tc>
          <w:tcPr>
            <w:tcW w:w="1834" w:type="dxa"/>
            <w:vMerge w:val="restart"/>
            <w:vAlign w:val="center"/>
          </w:tcPr>
          <w:p w14:paraId="372FAD46"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媒体文件</w:t>
            </w:r>
          </w:p>
        </w:tc>
        <w:tc>
          <w:tcPr>
            <w:tcW w:w="2293" w:type="dxa"/>
            <w:vMerge w:val="restart"/>
            <w:vAlign w:val="center"/>
          </w:tcPr>
          <w:p w14:paraId="3B1722C8"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c>
          <w:tcPr>
            <w:tcW w:w="1376" w:type="dxa"/>
            <w:vAlign w:val="center"/>
          </w:tcPr>
          <w:p w14:paraId="019E3005"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w:t>
            </w:r>
            <w:proofErr w:type="spellStart"/>
            <w:r w:rsidRPr="0045498A">
              <w:rPr>
                <w:rFonts w:ascii="宋体" w:hAnsi="宋体" w:cs="仿宋" w:hint="eastAsia"/>
                <w:sz w:val="24"/>
              </w:rPr>
              <w:t>avi</w:t>
            </w:r>
            <w:proofErr w:type="spellEnd"/>
          </w:p>
        </w:tc>
        <w:tc>
          <w:tcPr>
            <w:tcW w:w="2806" w:type="dxa"/>
            <w:vMerge w:val="restart"/>
          </w:tcPr>
          <w:p w14:paraId="2CA4EFBB"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原始分辨率不小于800*600，</w:t>
            </w:r>
            <w:proofErr w:type="gramStart"/>
            <w:r w:rsidRPr="0045498A">
              <w:rPr>
                <w:rFonts w:ascii="宋体" w:hAnsi="宋体" w:cs="仿宋" w:hint="eastAsia"/>
                <w:sz w:val="24"/>
              </w:rPr>
              <w:t>帧率不</w:t>
            </w:r>
            <w:proofErr w:type="gramEnd"/>
            <w:r w:rsidRPr="0045498A">
              <w:rPr>
                <w:rFonts w:ascii="宋体" w:hAnsi="宋体" w:cs="仿宋" w:hint="eastAsia"/>
                <w:sz w:val="24"/>
              </w:rPr>
              <w:t>少于15 帧/秒。内容时长应以充分说明所表达内容为准</w:t>
            </w:r>
          </w:p>
        </w:tc>
      </w:tr>
      <w:tr w:rsidR="00616558" w:rsidRPr="0045498A" w14:paraId="26E6A29E" w14:textId="77777777">
        <w:trPr>
          <w:trHeight w:val="595"/>
          <w:jc w:val="center"/>
        </w:trPr>
        <w:tc>
          <w:tcPr>
            <w:tcW w:w="881" w:type="dxa"/>
            <w:vMerge/>
            <w:vAlign w:val="center"/>
          </w:tcPr>
          <w:p w14:paraId="2CB7171D" w14:textId="77777777" w:rsidR="00616558" w:rsidRPr="0045498A" w:rsidRDefault="00616558">
            <w:pPr>
              <w:spacing w:line="360" w:lineRule="auto"/>
              <w:jc w:val="center"/>
              <w:rPr>
                <w:rFonts w:ascii="宋体" w:hAnsi="宋体" w:cs="仿宋"/>
                <w:sz w:val="24"/>
              </w:rPr>
            </w:pPr>
          </w:p>
        </w:tc>
        <w:tc>
          <w:tcPr>
            <w:tcW w:w="1834" w:type="dxa"/>
            <w:vMerge/>
            <w:vAlign w:val="center"/>
          </w:tcPr>
          <w:p w14:paraId="06FE81EA" w14:textId="77777777" w:rsidR="00616558" w:rsidRPr="0045498A" w:rsidRDefault="00616558">
            <w:pPr>
              <w:spacing w:line="360" w:lineRule="auto"/>
              <w:jc w:val="center"/>
              <w:rPr>
                <w:rFonts w:ascii="宋体" w:hAnsi="宋体" w:cs="仿宋"/>
                <w:sz w:val="24"/>
              </w:rPr>
            </w:pPr>
          </w:p>
        </w:tc>
        <w:tc>
          <w:tcPr>
            <w:tcW w:w="2293" w:type="dxa"/>
            <w:vMerge/>
            <w:vAlign w:val="center"/>
          </w:tcPr>
          <w:p w14:paraId="6CCAA155" w14:textId="77777777" w:rsidR="00616558" w:rsidRPr="0045498A" w:rsidRDefault="00616558">
            <w:pPr>
              <w:spacing w:line="360" w:lineRule="auto"/>
              <w:jc w:val="center"/>
              <w:rPr>
                <w:rFonts w:ascii="宋体" w:hAnsi="宋体" w:cs="仿宋"/>
                <w:sz w:val="24"/>
              </w:rPr>
            </w:pPr>
          </w:p>
        </w:tc>
        <w:tc>
          <w:tcPr>
            <w:tcW w:w="1376" w:type="dxa"/>
            <w:vAlign w:val="center"/>
          </w:tcPr>
          <w:p w14:paraId="349C23FA"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w:t>
            </w:r>
            <w:proofErr w:type="spellStart"/>
            <w:r w:rsidRPr="0045498A">
              <w:rPr>
                <w:rFonts w:ascii="宋体" w:hAnsi="宋体" w:cs="仿宋" w:hint="eastAsia"/>
                <w:sz w:val="24"/>
              </w:rPr>
              <w:t>wmv</w:t>
            </w:r>
            <w:proofErr w:type="spellEnd"/>
          </w:p>
        </w:tc>
        <w:tc>
          <w:tcPr>
            <w:tcW w:w="2806" w:type="dxa"/>
            <w:vMerge/>
          </w:tcPr>
          <w:p w14:paraId="651D0F73" w14:textId="77777777" w:rsidR="00616558" w:rsidRPr="0045498A" w:rsidRDefault="00616558">
            <w:pPr>
              <w:spacing w:line="360" w:lineRule="auto"/>
              <w:rPr>
                <w:rFonts w:ascii="宋体" w:hAnsi="宋体" w:cs="仿宋"/>
                <w:sz w:val="24"/>
              </w:rPr>
            </w:pPr>
          </w:p>
        </w:tc>
      </w:tr>
      <w:tr w:rsidR="00616558" w:rsidRPr="0045498A" w14:paraId="7E8D3545" w14:textId="77777777">
        <w:trPr>
          <w:trHeight w:val="596"/>
          <w:jc w:val="center"/>
        </w:trPr>
        <w:tc>
          <w:tcPr>
            <w:tcW w:w="881" w:type="dxa"/>
            <w:vMerge/>
            <w:vAlign w:val="center"/>
          </w:tcPr>
          <w:p w14:paraId="78F95A31" w14:textId="77777777" w:rsidR="00616558" w:rsidRPr="0045498A" w:rsidRDefault="00616558">
            <w:pPr>
              <w:spacing w:line="360" w:lineRule="auto"/>
              <w:jc w:val="center"/>
              <w:rPr>
                <w:rFonts w:ascii="宋体" w:hAnsi="宋体" w:cs="仿宋"/>
                <w:sz w:val="24"/>
              </w:rPr>
            </w:pPr>
          </w:p>
        </w:tc>
        <w:tc>
          <w:tcPr>
            <w:tcW w:w="1834" w:type="dxa"/>
            <w:vMerge/>
            <w:vAlign w:val="center"/>
          </w:tcPr>
          <w:p w14:paraId="1105FEFE" w14:textId="77777777" w:rsidR="00616558" w:rsidRPr="0045498A" w:rsidRDefault="00616558">
            <w:pPr>
              <w:spacing w:line="360" w:lineRule="auto"/>
              <w:jc w:val="center"/>
              <w:rPr>
                <w:rFonts w:ascii="宋体" w:hAnsi="宋体" w:cs="仿宋"/>
                <w:sz w:val="24"/>
              </w:rPr>
            </w:pPr>
          </w:p>
        </w:tc>
        <w:tc>
          <w:tcPr>
            <w:tcW w:w="2293" w:type="dxa"/>
            <w:vMerge/>
            <w:vAlign w:val="center"/>
          </w:tcPr>
          <w:p w14:paraId="2E140D0C" w14:textId="77777777" w:rsidR="00616558" w:rsidRPr="0045498A" w:rsidRDefault="00616558">
            <w:pPr>
              <w:spacing w:line="360" w:lineRule="auto"/>
              <w:jc w:val="center"/>
              <w:rPr>
                <w:rFonts w:ascii="宋体" w:hAnsi="宋体" w:cs="仿宋"/>
                <w:sz w:val="24"/>
              </w:rPr>
            </w:pPr>
          </w:p>
        </w:tc>
        <w:tc>
          <w:tcPr>
            <w:tcW w:w="1376" w:type="dxa"/>
            <w:vAlign w:val="center"/>
          </w:tcPr>
          <w:p w14:paraId="524556BB"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*.MP4</w:t>
            </w:r>
          </w:p>
        </w:tc>
        <w:tc>
          <w:tcPr>
            <w:tcW w:w="2806" w:type="dxa"/>
            <w:vMerge/>
          </w:tcPr>
          <w:p w14:paraId="491D27D0" w14:textId="77777777" w:rsidR="00616558" w:rsidRPr="0045498A" w:rsidRDefault="00616558">
            <w:pPr>
              <w:spacing w:line="360" w:lineRule="auto"/>
              <w:rPr>
                <w:rFonts w:ascii="宋体" w:hAnsi="宋体" w:cs="仿宋"/>
                <w:sz w:val="24"/>
              </w:rPr>
            </w:pPr>
          </w:p>
        </w:tc>
      </w:tr>
      <w:tr w:rsidR="00616558" w:rsidRPr="0045498A" w14:paraId="3F5913B7" w14:textId="77777777">
        <w:trPr>
          <w:trHeight w:val="384"/>
          <w:jc w:val="center"/>
        </w:trPr>
        <w:tc>
          <w:tcPr>
            <w:tcW w:w="881" w:type="dxa"/>
            <w:vAlign w:val="center"/>
          </w:tcPr>
          <w:p w14:paraId="0A4188B0"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4</w:t>
            </w:r>
          </w:p>
        </w:tc>
        <w:tc>
          <w:tcPr>
            <w:tcW w:w="1834" w:type="dxa"/>
            <w:vAlign w:val="center"/>
          </w:tcPr>
          <w:p w14:paraId="0F257BB7"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图片文件</w:t>
            </w:r>
          </w:p>
        </w:tc>
        <w:tc>
          <w:tcPr>
            <w:tcW w:w="2293" w:type="dxa"/>
            <w:vAlign w:val="center"/>
          </w:tcPr>
          <w:p w14:paraId="2C07E2AA"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c>
          <w:tcPr>
            <w:tcW w:w="1376" w:type="dxa"/>
            <w:vAlign w:val="center"/>
          </w:tcPr>
          <w:p w14:paraId="458F5CAA"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*.jpeg</w:t>
            </w:r>
          </w:p>
        </w:tc>
        <w:tc>
          <w:tcPr>
            <w:tcW w:w="2806" w:type="dxa"/>
          </w:tcPr>
          <w:p w14:paraId="27E2B57C"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分辨率不小于1280*720</w:t>
            </w:r>
          </w:p>
        </w:tc>
      </w:tr>
      <w:tr w:rsidR="00616558" w:rsidRPr="0045498A" w14:paraId="1F822CF1" w14:textId="77777777">
        <w:trPr>
          <w:trHeight w:val="784"/>
          <w:jc w:val="center"/>
        </w:trPr>
        <w:tc>
          <w:tcPr>
            <w:tcW w:w="881" w:type="dxa"/>
            <w:vAlign w:val="center"/>
          </w:tcPr>
          <w:p w14:paraId="575619C3"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5</w:t>
            </w:r>
          </w:p>
        </w:tc>
        <w:tc>
          <w:tcPr>
            <w:tcW w:w="1834" w:type="dxa"/>
            <w:vAlign w:val="center"/>
          </w:tcPr>
          <w:p w14:paraId="1D273638"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图纸类</w:t>
            </w:r>
          </w:p>
        </w:tc>
        <w:tc>
          <w:tcPr>
            <w:tcW w:w="2293" w:type="dxa"/>
            <w:vAlign w:val="center"/>
          </w:tcPr>
          <w:p w14:paraId="0457B6CC"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c>
          <w:tcPr>
            <w:tcW w:w="1376" w:type="dxa"/>
            <w:vAlign w:val="center"/>
          </w:tcPr>
          <w:p w14:paraId="340C6948"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 DWG</w:t>
            </w:r>
          </w:p>
          <w:p w14:paraId="5B2FB955" w14:textId="77777777" w:rsidR="00616558" w:rsidRPr="0045498A" w:rsidRDefault="00000000">
            <w:pPr>
              <w:spacing w:line="360" w:lineRule="auto"/>
              <w:rPr>
                <w:rFonts w:ascii="宋体" w:hAnsi="宋体" w:cs="仿宋"/>
                <w:sz w:val="24"/>
              </w:rPr>
            </w:pPr>
            <w:r w:rsidRPr="0045498A">
              <w:rPr>
                <w:rFonts w:ascii="宋体" w:hAnsi="宋体" w:cs="仿宋" w:hint="eastAsia"/>
                <w:sz w:val="24"/>
              </w:rPr>
              <w:t>*. DXF</w:t>
            </w:r>
          </w:p>
        </w:tc>
        <w:tc>
          <w:tcPr>
            <w:tcW w:w="2806" w:type="dxa"/>
            <w:vAlign w:val="center"/>
          </w:tcPr>
          <w:p w14:paraId="50E5EB56"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r>
      <w:tr w:rsidR="00616558" w:rsidRPr="0045498A" w14:paraId="3E831E38" w14:textId="77777777">
        <w:trPr>
          <w:trHeight w:val="784"/>
          <w:jc w:val="center"/>
        </w:trPr>
        <w:tc>
          <w:tcPr>
            <w:tcW w:w="881" w:type="dxa"/>
            <w:vAlign w:val="center"/>
          </w:tcPr>
          <w:p w14:paraId="6002E633"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lastRenderedPageBreak/>
              <w:t>6</w:t>
            </w:r>
          </w:p>
        </w:tc>
        <w:tc>
          <w:tcPr>
            <w:tcW w:w="1834" w:type="dxa"/>
            <w:vAlign w:val="center"/>
          </w:tcPr>
          <w:p w14:paraId="6A462BC2"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文档</w:t>
            </w:r>
          </w:p>
        </w:tc>
        <w:tc>
          <w:tcPr>
            <w:tcW w:w="2293" w:type="dxa"/>
            <w:vAlign w:val="center"/>
          </w:tcPr>
          <w:p w14:paraId="2109ADA3"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 xml:space="preserve">Office </w:t>
            </w:r>
          </w:p>
          <w:p w14:paraId="0B56F8DF"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PDF</w:t>
            </w:r>
          </w:p>
        </w:tc>
        <w:tc>
          <w:tcPr>
            <w:tcW w:w="1376" w:type="dxa"/>
            <w:vAlign w:val="center"/>
          </w:tcPr>
          <w:p w14:paraId="22962E66"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*.doc</w:t>
            </w:r>
          </w:p>
          <w:p w14:paraId="767EB90C"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*.PDF</w:t>
            </w:r>
          </w:p>
        </w:tc>
        <w:tc>
          <w:tcPr>
            <w:tcW w:w="2806" w:type="dxa"/>
          </w:tcPr>
          <w:p w14:paraId="768DF1D3" w14:textId="77777777" w:rsidR="00616558" w:rsidRPr="0045498A" w:rsidRDefault="00000000">
            <w:pPr>
              <w:spacing w:line="360" w:lineRule="auto"/>
              <w:jc w:val="center"/>
              <w:rPr>
                <w:rFonts w:ascii="宋体" w:hAnsi="宋体" w:cs="仿宋"/>
                <w:sz w:val="24"/>
              </w:rPr>
            </w:pPr>
            <w:r w:rsidRPr="0045498A">
              <w:rPr>
                <w:rFonts w:ascii="宋体" w:hAnsi="宋体" w:cs="仿宋" w:hint="eastAsia"/>
                <w:sz w:val="24"/>
              </w:rPr>
              <w:t>——</w:t>
            </w:r>
          </w:p>
        </w:tc>
      </w:tr>
    </w:tbl>
    <w:p w14:paraId="472B19D8" w14:textId="77777777" w:rsidR="00616558" w:rsidRPr="0045498A" w:rsidRDefault="00616558">
      <w:pPr>
        <w:pStyle w:val="a1"/>
        <w:spacing w:after="0" w:line="360" w:lineRule="auto"/>
        <w:ind w:firstLineChars="200" w:firstLine="480"/>
        <w:rPr>
          <w:rFonts w:ascii="宋体" w:eastAsia="宋体" w:hAnsi="宋体"/>
          <w:sz w:val="24"/>
        </w:rPr>
      </w:pPr>
    </w:p>
    <w:p w14:paraId="5B8B4297" w14:textId="77777777" w:rsidR="00616558" w:rsidRPr="0045498A" w:rsidRDefault="00000000" w:rsidP="00FC4798">
      <w:pPr>
        <w:pStyle w:val="10"/>
        <w:spacing w:before="0" w:after="0" w:line="360" w:lineRule="auto"/>
        <w:ind w:left="425"/>
        <w:rPr>
          <w:rFonts w:ascii="宋体" w:eastAsia="宋体" w:hAnsi="宋体"/>
          <w:sz w:val="24"/>
          <w:szCs w:val="24"/>
        </w:rPr>
      </w:pPr>
      <w:bookmarkStart w:id="20" w:name="第四部分_施工要求"/>
      <w:bookmarkStart w:id="21" w:name="第六部分_BIM要求"/>
      <w:bookmarkStart w:id="22" w:name="第三部分_设计要求"/>
      <w:bookmarkStart w:id="23" w:name="第七部分_工程档案管理要求"/>
      <w:bookmarkStart w:id="24" w:name="_Toc97762483"/>
      <w:bookmarkEnd w:id="20"/>
      <w:bookmarkEnd w:id="21"/>
      <w:bookmarkEnd w:id="22"/>
      <w:bookmarkEnd w:id="23"/>
      <w:r w:rsidRPr="0045498A">
        <w:rPr>
          <w:rFonts w:ascii="宋体" w:eastAsia="宋体" w:hAnsi="宋体" w:hint="eastAsia"/>
          <w:sz w:val="24"/>
          <w:szCs w:val="24"/>
        </w:rPr>
        <w:t>.</w:t>
      </w:r>
      <w:r w:rsidRPr="0045498A">
        <w:rPr>
          <w:rFonts w:ascii="宋体" w:eastAsia="宋体" w:hAnsi="宋体"/>
          <w:sz w:val="24"/>
          <w:szCs w:val="24"/>
        </w:rPr>
        <w:t>工程档案管理要求</w:t>
      </w:r>
      <w:bookmarkEnd w:id="24"/>
    </w:p>
    <w:p w14:paraId="088693D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实行EPC工程总承包建设的项目，投标人是工程建设过程的主要责任主体，因此，投标人在项目档案管理中承担两方面的职责：一是对分包</w:t>
      </w:r>
      <w:r w:rsidRPr="0045498A">
        <w:rPr>
          <w:rFonts w:ascii="宋体" w:hAnsi="宋体" w:hint="eastAsia"/>
          <w:sz w:val="24"/>
        </w:rPr>
        <w:t>单位</w:t>
      </w:r>
      <w:r w:rsidRPr="0045498A">
        <w:rPr>
          <w:rFonts w:ascii="宋体" w:hAnsi="宋体"/>
          <w:sz w:val="24"/>
        </w:rPr>
        <w:t>档案工作的业务指导、监督的职责；二是在档案收集、整理及移交工作中的职责；三是在总承包项目实施过程中做好各阶段的档案管理工作。</w:t>
      </w:r>
    </w:p>
    <w:p w14:paraId="2DE36C8A" w14:textId="77777777" w:rsidR="00616558" w:rsidRPr="0045498A" w:rsidRDefault="00000000">
      <w:pPr>
        <w:pStyle w:val="2"/>
        <w:spacing w:before="0" w:after="0"/>
        <w:rPr>
          <w:rFonts w:ascii="宋体" w:hAnsi="宋体"/>
          <w:color w:val="auto"/>
          <w:sz w:val="24"/>
          <w:szCs w:val="24"/>
        </w:rPr>
      </w:pPr>
      <w:bookmarkStart w:id="25" w:name="一、对分包单位档案工作指导、监督职责"/>
      <w:bookmarkEnd w:id="25"/>
      <w:r w:rsidRPr="0045498A">
        <w:rPr>
          <w:rFonts w:ascii="宋体" w:hAnsi="宋体" w:hint="eastAsia"/>
          <w:color w:val="auto"/>
          <w:sz w:val="24"/>
          <w:szCs w:val="24"/>
        </w:rPr>
        <w:t>对分包单位档案工作指导、监督职责</w:t>
      </w:r>
    </w:p>
    <w:p w14:paraId="08C7A92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1.工程项目建立档案管理系统，建立建全统一的档案管理制度规范和标准；实现档案的现代化管理。</w:t>
      </w:r>
    </w:p>
    <w:p w14:paraId="6EB0E76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2.指导并监督分包</w:t>
      </w:r>
      <w:r w:rsidRPr="0045498A">
        <w:rPr>
          <w:rFonts w:ascii="宋体" w:hAnsi="宋体" w:hint="eastAsia"/>
          <w:sz w:val="24"/>
        </w:rPr>
        <w:t>单位</w:t>
      </w:r>
      <w:r w:rsidRPr="0045498A">
        <w:rPr>
          <w:rFonts w:ascii="宋体" w:hAnsi="宋体"/>
          <w:sz w:val="24"/>
        </w:rPr>
        <w:t>将工程档案管理同步到工程建设工作中；执行统一的档案整理标准和分类方法。</w:t>
      </w:r>
    </w:p>
    <w:p w14:paraId="13AB2B8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将总承包工程项目档案工作纳入项目负责人的责任制；项目文件材料的收集，整理工作纳入工程建设计划中，纳入各部门的岗位责任制与职责范围，定期考核；将档案管理纳入到合同之中，档案移交完整与否将与工程款结算相挂钩。</w:t>
      </w:r>
    </w:p>
    <w:p w14:paraId="28B16EF3" w14:textId="77777777" w:rsidR="00616558" w:rsidRPr="0045498A" w:rsidRDefault="00000000">
      <w:pPr>
        <w:pStyle w:val="2"/>
        <w:spacing w:before="0" w:after="0"/>
        <w:rPr>
          <w:rFonts w:ascii="宋体" w:hAnsi="宋体"/>
          <w:color w:val="auto"/>
          <w:sz w:val="24"/>
          <w:szCs w:val="24"/>
        </w:rPr>
      </w:pPr>
      <w:bookmarkStart w:id="26" w:name="二、档案的收集、整理、移交职责"/>
      <w:bookmarkEnd w:id="26"/>
      <w:r w:rsidRPr="0045498A">
        <w:rPr>
          <w:rFonts w:ascii="宋体" w:hAnsi="宋体" w:hint="eastAsia"/>
          <w:color w:val="auto"/>
          <w:sz w:val="24"/>
          <w:szCs w:val="24"/>
        </w:rPr>
        <w:t>档案的收集、整理、移交职责</w:t>
      </w:r>
    </w:p>
    <w:p w14:paraId="39FA2DC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1.投标人各部门和分包单位对工程建设的前期文件、项目现场管理、施工、试运行、竣工验收等各类文件材料的收集、整理、鉴定和归档工作，并及时向业主单位移交档案。</w:t>
      </w:r>
    </w:p>
    <w:p w14:paraId="4DBA17E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2.接收分包单位文件材料，进行审核、验收</w:t>
      </w:r>
      <w:r w:rsidRPr="0045498A">
        <w:rPr>
          <w:rFonts w:ascii="宋体" w:hAnsi="宋体" w:hint="eastAsia"/>
          <w:sz w:val="24"/>
        </w:rPr>
        <w:t>，</w:t>
      </w:r>
      <w:r w:rsidRPr="0045498A">
        <w:rPr>
          <w:rFonts w:ascii="宋体" w:hAnsi="宋体"/>
          <w:sz w:val="24"/>
        </w:rPr>
        <w:t>对总承包项目的全部档案进行整理并汇总。</w:t>
      </w:r>
    </w:p>
    <w:p w14:paraId="7734147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3.工程竣工验收</w:t>
      </w:r>
      <w:r w:rsidRPr="0045498A">
        <w:rPr>
          <w:rFonts w:ascii="宋体" w:hAnsi="宋体" w:hint="eastAsia"/>
          <w:sz w:val="24"/>
        </w:rPr>
        <w:t>6个月</w:t>
      </w:r>
      <w:r w:rsidRPr="0045498A">
        <w:rPr>
          <w:rFonts w:ascii="宋体" w:hAnsi="宋体"/>
          <w:sz w:val="24"/>
        </w:rPr>
        <w:t>内，投标人按档案主管部门规定向招标人提供全部工程竣工档案资料，工程竣工档案资料的移交份数须符合招标人或监理人要求，编制工程竣工档案资料产生的费用由投标人承担，招标人不再另行支付。</w:t>
      </w:r>
    </w:p>
    <w:p w14:paraId="24021CB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因非</w:t>
      </w:r>
      <w:r w:rsidRPr="0045498A">
        <w:rPr>
          <w:rFonts w:ascii="宋体" w:hAnsi="宋体" w:hint="eastAsia"/>
          <w:sz w:val="24"/>
        </w:rPr>
        <w:t>投</w:t>
      </w:r>
      <w:r w:rsidRPr="0045498A">
        <w:rPr>
          <w:rFonts w:ascii="宋体" w:hAnsi="宋体"/>
          <w:sz w:val="24"/>
        </w:rPr>
        <w:t>标人原因造成投标人无法如期移交工程竣工档案资料，投标人应在合理的时间内向招标人提出书面申请，阐明原因并提出延期移交工程竣工档案资料的申请，经招标人审批通过后可根据实际情况适当延迟工程竣工档案资料的移交时限。</w:t>
      </w:r>
    </w:p>
    <w:p w14:paraId="00150363" w14:textId="77777777" w:rsidR="00616558" w:rsidRPr="0045498A" w:rsidRDefault="00000000">
      <w:pPr>
        <w:pStyle w:val="2"/>
        <w:spacing w:before="0" w:after="0"/>
        <w:rPr>
          <w:rFonts w:ascii="宋体" w:hAnsi="宋体"/>
          <w:color w:val="auto"/>
          <w:sz w:val="24"/>
          <w:szCs w:val="24"/>
        </w:rPr>
      </w:pPr>
      <w:bookmarkStart w:id="27" w:name="三、总承包项目实施过程中做好各阶段的档案管理工作"/>
      <w:bookmarkEnd w:id="27"/>
      <w:r w:rsidRPr="0045498A">
        <w:rPr>
          <w:rFonts w:ascii="宋体" w:hAnsi="宋体" w:hint="eastAsia"/>
          <w:color w:val="auto"/>
          <w:sz w:val="24"/>
          <w:szCs w:val="24"/>
        </w:rPr>
        <w:t>各阶段的档案管理工作</w:t>
      </w:r>
    </w:p>
    <w:p w14:paraId="412F8B1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投标人应按照中国电信内部档案管理以及档案馆的相关要求，把档案管理工作落实到项目的各个进展阶段。</w:t>
      </w:r>
    </w:p>
    <w:p w14:paraId="57F7A59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lastRenderedPageBreak/>
        <w:t>1.设计阶段；包括设计基础文件、设计文件、工程设计计算书、概预算材料以及往来文书文件等。</w:t>
      </w:r>
    </w:p>
    <w:p w14:paraId="52981D6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w:t>
      </w:r>
      <w:r w:rsidRPr="0045498A">
        <w:rPr>
          <w:rFonts w:ascii="宋体" w:hAnsi="宋体" w:hint="eastAsia"/>
          <w:sz w:val="24"/>
        </w:rPr>
        <w:t>.施工阶段；包括开工报告、工程技术要求、施工计划、施工招投标中标文件、施工分包合同、项目进度计划、工程开工审批文件、图纸会审纪要、施工组织设计、施工定位测量复核记录、设计变更、工程检查记录、工程照片、施工日记、大事记、事故处理报告、合同执行过程来往函件等。</w:t>
      </w:r>
    </w:p>
    <w:p w14:paraId="30AC847C"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w:t>
      </w:r>
      <w:r w:rsidRPr="0045498A">
        <w:rPr>
          <w:rFonts w:ascii="宋体" w:hAnsi="宋体" w:hint="eastAsia"/>
          <w:sz w:val="24"/>
        </w:rPr>
        <w:t>.试运行阶段；包括试运行计划书、试运行方案及记录单及记录表等文件。</w:t>
      </w:r>
    </w:p>
    <w:p w14:paraId="656345E3" w14:textId="77777777" w:rsidR="00616558" w:rsidRPr="0045498A" w:rsidRDefault="00000000">
      <w:pPr>
        <w:snapToGrid w:val="0"/>
        <w:spacing w:line="360" w:lineRule="auto"/>
        <w:ind w:firstLineChars="200" w:firstLine="480"/>
        <w:rPr>
          <w:rFonts w:ascii="宋体" w:hAnsi="宋体"/>
          <w:sz w:val="24"/>
        </w:rPr>
        <w:sectPr w:rsidR="00616558" w:rsidRPr="0045498A">
          <w:pgSz w:w="11910" w:h="16840"/>
          <w:pgMar w:top="1360" w:right="1300" w:bottom="1180" w:left="1300" w:header="0" w:footer="995" w:gutter="0"/>
          <w:cols w:space="720"/>
        </w:sectPr>
      </w:pPr>
      <w:r w:rsidRPr="0045498A">
        <w:rPr>
          <w:rFonts w:ascii="宋体" w:hAnsi="宋体"/>
          <w:sz w:val="24"/>
        </w:rPr>
        <w:t>4</w:t>
      </w:r>
      <w:r w:rsidRPr="0045498A">
        <w:rPr>
          <w:rFonts w:ascii="宋体" w:hAnsi="宋体" w:hint="eastAsia"/>
          <w:sz w:val="24"/>
        </w:rPr>
        <w:t>.工程竣工验收阶段；包括竣工验收文件、项目竣工验收报告及会议文件、最终验收证书及相关文件、工程设计总结、工程施工总结等。</w:t>
      </w:r>
    </w:p>
    <w:p w14:paraId="2C7D0230" w14:textId="77777777" w:rsidR="00616558" w:rsidRPr="0045498A" w:rsidRDefault="00000000" w:rsidP="00FC4798">
      <w:pPr>
        <w:pStyle w:val="10"/>
        <w:spacing w:before="0" w:after="0" w:line="360" w:lineRule="auto"/>
        <w:ind w:left="425"/>
        <w:rPr>
          <w:rFonts w:ascii="宋体" w:eastAsia="宋体" w:hAnsi="宋体"/>
          <w:sz w:val="24"/>
          <w:szCs w:val="24"/>
        </w:rPr>
      </w:pPr>
      <w:bookmarkStart w:id="28" w:name="第八部分_安全管理要求"/>
      <w:bookmarkStart w:id="29" w:name="_Toc97762484"/>
      <w:bookmarkEnd w:id="28"/>
      <w:r w:rsidRPr="0045498A">
        <w:rPr>
          <w:rFonts w:ascii="宋体" w:eastAsia="宋体" w:hAnsi="宋体" w:hint="eastAsia"/>
          <w:sz w:val="24"/>
          <w:szCs w:val="24"/>
        </w:rPr>
        <w:lastRenderedPageBreak/>
        <w:t>.</w:t>
      </w:r>
      <w:r w:rsidRPr="0045498A">
        <w:rPr>
          <w:rFonts w:ascii="宋体" w:eastAsia="宋体" w:hAnsi="宋体"/>
          <w:sz w:val="24"/>
          <w:szCs w:val="24"/>
        </w:rPr>
        <w:t>安全管理要求</w:t>
      </w:r>
      <w:bookmarkEnd w:id="29"/>
    </w:p>
    <w:p w14:paraId="52C9B46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为促进本工程安全管理工作的程序化、规范化、科学化，落实各安全管理岗位的职责，进一步加强项目的安全管理工作，预防安全事故，确保建设科学、快速、安全和协调发展，特提出安全管理专项要求。</w:t>
      </w:r>
    </w:p>
    <w:p w14:paraId="1F1B4391"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规范依据</w:t>
      </w:r>
    </w:p>
    <w:p w14:paraId="73FBCB3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 《中华人民共和国安全生产法》（国家主席令 2021 第 88 号）</w:t>
      </w:r>
    </w:p>
    <w:p w14:paraId="1DB0105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 《中华人民共和国特种设备安全法》（国家主席令 2013 第 4 号）</w:t>
      </w:r>
    </w:p>
    <w:p w14:paraId="0670A4B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 《中华人民共和国防震减灾法》（国家主席令 2008 第 7 号）</w:t>
      </w:r>
    </w:p>
    <w:p w14:paraId="2A6BCDA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4. 《中华人民共和国突发事件应对法》（国家主席令 2007 第 69 号）</w:t>
      </w:r>
    </w:p>
    <w:p w14:paraId="04BD835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5. 《生产安全事故报告和调查处理条例》（</w:t>
      </w:r>
      <w:proofErr w:type="gramStart"/>
      <w:r w:rsidRPr="0045498A">
        <w:rPr>
          <w:rFonts w:ascii="宋体" w:hAnsi="宋体"/>
          <w:sz w:val="24"/>
        </w:rPr>
        <w:t>国务院令第</w:t>
      </w:r>
      <w:proofErr w:type="gramEnd"/>
      <w:r w:rsidRPr="0045498A">
        <w:rPr>
          <w:rFonts w:ascii="宋体" w:hAnsi="宋体"/>
          <w:sz w:val="24"/>
        </w:rPr>
        <w:t xml:space="preserve"> 493号）</w:t>
      </w:r>
    </w:p>
    <w:p w14:paraId="756399B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6. 《建设工程安全生产管理条例》（</w:t>
      </w:r>
      <w:proofErr w:type="gramStart"/>
      <w:r w:rsidRPr="0045498A">
        <w:rPr>
          <w:rFonts w:ascii="宋体" w:hAnsi="宋体"/>
          <w:sz w:val="24"/>
        </w:rPr>
        <w:t>国务院令第</w:t>
      </w:r>
      <w:proofErr w:type="gramEnd"/>
      <w:r w:rsidRPr="0045498A">
        <w:rPr>
          <w:rFonts w:ascii="宋体" w:hAnsi="宋体"/>
          <w:sz w:val="24"/>
        </w:rPr>
        <w:t xml:space="preserve"> 393号）</w:t>
      </w:r>
    </w:p>
    <w:p w14:paraId="090D9CF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7. 《国务院关于特大安全事故行政责任追究的规定》（</w:t>
      </w:r>
      <w:proofErr w:type="gramStart"/>
      <w:r w:rsidRPr="0045498A">
        <w:rPr>
          <w:rFonts w:ascii="宋体" w:hAnsi="宋体"/>
          <w:sz w:val="24"/>
        </w:rPr>
        <w:t>国务院令第</w:t>
      </w:r>
      <w:proofErr w:type="gramEnd"/>
      <w:r w:rsidRPr="0045498A">
        <w:rPr>
          <w:rFonts w:ascii="宋体" w:hAnsi="宋体"/>
          <w:sz w:val="24"/>
        </w:rPr>
        <w:t xml:space="preserve"> 302号）</w:t>
      </w:r>
    </w:p>
    <w:p w14:paraId="6A4A5C5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8. 《工伤保险条例》（</w:t>
      </w:r>
      <w:proofErr w:type="gramStart"/>
      <w:r w:rsidRPr="0045498A">
        <w:rPr>
          <w:rFonts w:ascii="宋体" w:hAnsi="宋体"/>
          <w:sz w:val="24"/>
        </w:rPr>
        <w:t>国务院令第</w:t>
      </w:r>
      <w:proofErr w:type="gramEnd"/>
      <w:r w:rsidRPr="0045498A">
        <w:rPr>
          <w:rFonts w:ascii="宋体" w:hAnsi="宋体"/>
          <w:sz w:val="24"/>
        </w:rPr>
        <w:t xml:space="preserve"> 586 号）</w:t>
      </w:r>
    </w:p>
    <w:p w14:paraId="41C5FF9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9. 《中华人民共和国防汛条例（2011 年修订）》（</w:t>
      </w:r>
      <w:proofErr w:type="gramStart"/>
      <w:r w:rsidRPr="0045498A">
        <w:rPr>
          <w:rFonts w:ascii="宋体" w:hAnsi="宋体"/>
          <w:sz w:val="24"/>
        </w:rPr>
        <w:t>国务院令第</w:t>
      </w:r>
      <w:proofErr w:type="gramEnd"/>
      <w:r w:rsidRPr="0045498A">
        <w:rPr>
          <w:rFonts w:ascii="宋体" w:hAnsi="宋体"/>
          <w:sz w:val="24"/>
        </w:rPr>
        <w:t xml:space="preserve"> 588 号）</w:t>
      </w:r>
    </w:p>
    <w:p w14:paraId="63EB8A0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10.《生产安全事故应急条例》（国务院第 708 号令）</w:t>
      </w:r>
    </w:p>
    <w:p w14:paraId="5E1B8C5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11.《企业安全生产费用提取和使用管理办法》（财企 2012 16 号）</w:t>
      </w:r>
    </w:p>
    <w:p w14:paraId="61E3658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12.《防雷减灾管理办法》（中国</w:t>
      </w:r>
      <w:proofErr w:type="gramStart"/>
      <w:r w:rsidRPr="0045498A">
        <w:rPr>
          <w:rFonts w:ascii="宋体" w:hAnsi="宋体"/>
          <w:sz w:val="24"/>
        </w:rPr>
        <w:t>气象局令第</w:t>
      </w:r>
      <w:proofErr w:type="gramEnd"/>
      <w:r w:rsidRPr="0045498A">
        <w:rPr>
          <w:rFonts w:ascii="宋体" w:hAnsi="宋体"/>
          <w:sz w:val="24"/>
        </w:rPr>
        <w:t xml:space="preserve"> 24 号）</w:t>
      </w:r>
    </w:p>
    <w:p w14:paraId="6BBAE54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13.《生产安全事故应急预案管理办法》（国家安监</w:t>
      </w:r>
      <w:proofErr w:type="gramStart"/>
      <w:r w:rsidRPr="0045498A">
        <w:rPr>
          <w:rFonts w:ascii="宋体" w:hAnsi="宋体"/>
          <w:sz w:val="24"/>
        </w:rPr>
        <w:t>总局令第</w:t>
      </w:r>
      <w:proofErr w:type="gramEnd"/>
      <w:r w:rsidRPr="0045498A">
        <w:rPr>
          <w:rFonts w:ascii="宋体" w:hAnsi="宋体"/>
          <w:sz w:val="24"/>
        </w:rPr>
        <w:t xml:space="preserve"> 88 号）</w:t>
      </w:r>
    </w:p>
    <w:p w14:paraId="7BFAAA9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14.《特种作业人员安全技术培训考核管理规定》（国家安监</w:t>
      </w:r>
      <w:proofErr w:type="gramStart"/>
      <w:r w:rsidRPr="0045498A">
        <w:rPr>
          <w:rFonts w:ascii="宋体" w:hAnsi="宋体"/>
          <w:sz w:val="24"/>
        </w:rPr>
        <w:t>总局令第</w:t>
      </w:r>
      <w:proofErr w:type="gramEnd"/>
      <w:r w:rsidRPr="0045498A">
        <w:rPr>
          <w:rFonts w:ascii="宋体" w:hAnsi="宋体"/>
          <w:sz w:val="24"/>
        </w:rPr>
        <w:t xml:space="preserve"> 30号，总</w:t>
      </w:r>
    </w:p>
    <w:p w14:paraId="5A6F1595" w14:textId="77777777" w:rsidR="00616558" w:rsidRPr="0045498A" w:rsidRDefault="00000000">
      <w:pPr>
        <w:snapToGrid w:val="0"/>
        <w:spacing w:line="360" w:lineRule="auto"/>
        <w:ind w:firstLineChars="200" w:firstLine="480"/>
        <w:rPr>
          <w:rFonts w:ascii="宋体" w:hAnsi="宋体"/>
          <w:sz w:val="24"/>
        </w:rPr>
      </w:pPr>
      <w:proofErr w:type="gramStart"/>
      <w:r w:rsidRPr="0045498A">
        <w:rPr>
          <w:rFonts w:ascii="宋体" w:hAnsi="宋体" w:hint="eastAsia"/>
          <w:sz w:val="24"/>
        </w:rPr>
        <w:t>局令第</w:t>
      </w:r>
      <w:proofErr w:type="gramEnd"/>
      <w:r w:rsidRPr="0045498A">
        <w:rPr>
          <w:rFonts w:ascii="宋体" w:hAnsi="宋体"/>
          <w:sz w:val="24"/>
        </w:rPr>
        <w:t xml:space="preserve"> 80 号修改）</w:t>
      </w:r>
    </w:p>
    <w:p w14:paraId="729BCDE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15.《特种设备作业人员监督管理办法》（国家质检</w:t>
      </w:r>
      <w:proofErr w:type="gramStart"/>
      <w:r w:rsidRPr="0045498A">
        <w:rPr>
          <w:rFonts w:ascii="宋体" w:hAnsi="宋体"/>
          <w:sz w:val="24"/>
        </w:rPr>
        <w:t>总局令第</w:t>
      </w:r>
      <w:proofErr w:type="gramEnd"/>
      <w:r w:rsidRPr="0045498A">
        <w:rPr>
          <w:rFonts w:ascii="宋体" w:hAnsi="宋体"/>
          <w:sz w:val="24"/>
        </w:rPr>
        <w:t xml:space="preserve"> 140 号）</w:t>
      </w:r>
    </w:p>
    <w:p w14:paraId="5E37939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16.《国务院关于进一步加强企业安全生产工作的通知》（国发 2010 23号）</w:t>
      </w:r>
    </w:p>
    <w:p w14:paraId="15255B2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 xml:space="preserve">17.《质检总局关于修订&lt;特种设备目录&gt;的公告》（质检总局 2014 </w:t>
      </w:r>
      <w:proofErr w:type="gramStart"/>
      <w:r w:rsidRPr="0045498A">
        <w:rPr>
          <w:rFonts w:ascii="宋体" w:hAnsi="宋体"/>
          <w:sz w:val="24"/>
        </w:rPr>
        <w:t>公告第</w:t>
      </w:r>
      <w:proofErr w:type="gramEnd"/>
      <w:r w:rsidRPr="0045498A">
        <w:rPr>
          <w:rFonts w:ascii="宋体" w:hAnsi="宋体"/>
          <w:sz w:val="24"/>
        </w:rPr>
        <w:t xml:space="preserve"> 114号）</w:t>
      </w:r>
    </w:p>
    <w:p w14:paraId="5525A39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18.《国务院安委会办公室关于贯彻落实国务院&lt;通知&gt;精神进一步加强安全生产应急救援体系建设的实施意见》（安委办 2010 25 号）</w:t>
      </w:r>
    </w:p>
    <w:p w14:paraId="2002480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19.《关于印发起重机械、基坑工程等五项危险性较大的分部分项工程施工安全要点的通知》（</w:t>
      </w:r>
      <w:proofErr w:type="gramStart"/>
      <w:r w:rsidRPr="0045498A">
        <w:rPr>
          <w:rFonts w:ascii="宋体" w:hAnsi="宋体"/>
          <w:sz w:val="24"/>
        </w:rPr>
        <w:t>建安办</w:t>
      </w:r>
      <w:proofErr w:type="gramEnd"/>
      <w:r w:rsidRPr="0045498A">
        <w:rPr>
          <w:rFonts w:ascii="宋体" w:hAnsi="宋体"/>
          <w:sz w:val="24"/>
        </w:rPr>
        <w:t>函 2017 12 号）</w:t>
      </w:r>
    </w:p>
    <w:p w14:paraId="129107E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20.《住房城乡建设部办公厅关于实施&lt;危险性较大的分部分项工程安全管理规定&gt;有关问题的通知》（</w:t>
      </w:r>
      <w:proofErr w:type="gramStart"/>
      <w:r w:rsidRPr="0045498A">
        <w:rPr>
          <w:rFonts w:ascii="宋体" w:hAnsi="宋体"/>
          <w:sz w:val="24"/>
        </w:rPr>
        <w:t>建办质</w:t>
      </w:r>
      <w:proofErr w:type="gramEnd"/>
      <w:r w:rsidRPr="0045498A">
        <w:rPr>
          <w:rFonts w:ascii="宋体" w:hAnsi="宋体"/>
          <w:sz w:val="24"/>
        </w:rPr>
        <w:t xml:space="preserve"> 2018 31 号）</w:t>
      </w:r>
    </w:p>
    <w:p w14:paraId="60E93C4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21.《危险性较大的分部分项工程安全管理规定》（住房和城乡建设部令第37号）</w:t>
      </w:r>
    </w:p>
    <w:p w14:paraId="6EBB3AD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lastRenderedPageBreak/>
        <w:t>22.《广东省消防工作若干规定》（已于2021年1月28日十三届广东省人民政府第130次常务会议通过，自2021年5月1日起施行）</w:t>
      </w:r>
    </w:p>
    <w:p w14:paraId="1FCC9D3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23.《企业职工伤亡事故分类》（GB 6441-1986）</w:t>
      </w:r>
    </w:p>
    <w:p w14:paraId="07B8753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24.《建筑灭火器配置设计规范》（GB 50140-2005）</w:t>
      </w:r>
    </w:p>
    <w:p w14:paraId="4A74985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25.《安全标志及其使用导则》（GB 2894-2008）</w:t>
      </w:r>
    </w:p>
    <w:p w14:paraId="76051CA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26.《生产经营单位生产安全事故应急预案编制导则》（GB/T 29639-2020）</w:t>
      </w:r>
    </w:p>
    <w:p w14:paraId="3D28B40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27.《建筑地基处理技术规范》（JTJ 79-2012）</w:t>
      </w:r>
    </w:p>
    <w:p w14:paraId="5D8EE1C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28.《建设工程施工现场供用电安全规范》（GB 50194-2014）</w:t>
      </w:r>
    </w:p>
    <w:p w14:paraId="4D7897D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29.《崩塌、滑坡、泥石流监测规范》（DZ/T0221-2006）</w:t>
      </w:r>
    </w:p>
    <w:p w14:paraId="2664DE7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30.《建筑施工高处作业安全技术规范》（JGJ 80-2016）</w:t>
      </w:r>
    </w:p>
    <w:p w14:paraId="06B6E47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31.《中国地震动参数区划图》(GB18306-2015)</w:t>
      </w:r>
    </w:p>
    <w:p w14:paraId="3167079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32.《建筑机械使用安全技术规程》（JGJ33-2012）</w:t>
      </w:r>
    </w:p>
    <w:p w14:paraId="589AF05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33.《起重机械安全规程第 1 部分：总则》（GB/T6067.1-2010）</w:t>
      </w:r>
    </w:p>
    <w:p w14:paraId="4B03143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34.《施工现场临时用电安全技术规范》（JGJ46-2005）</w:t>
      </w:r>
    </w:p>
    <w:p w14:paraId="502A8CC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35.《建设工程施工现场消防安全技术规范》（GB50720-2011）</w:t>
      </w:r>
    </w:p>
    <w:p w14:paraId="0B681E4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36.国家现行的其他规范和规定。</w:t>
      </w:r>
    </w:p>
    <w:p w14:paraId="345ECEDB"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目标要求</w:t>
      </w:r>
    </w:p>
    <w:p w14:paraId="3432767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w:t>
      </w:r>
      <w:r w:rsidRPr="0045498A">
        <w:rPr>
          <w:rFonts w:ascii="宋体" w:hAnsi="宋体"/>
          <w:sz w:val="24"/>
        </w:rPr>
        <w:t>加强安全生产工作，落实安全生产责任，提升安全管理水平；全面贯彻“安全第一、预防为主”的方针，坚持“管生产必须管安全、谁主管谁负责”的原则；强化全员安全意识，提高施工人员安全技术素质，强化组织管理制度，形成层层负责，人人把关的意识，打造依法管理，持续改进的新局面，实现安全管理目标。</w:t>
      </w:r>
    </w:p>
    <w:p w14:paraId="0EF74A9D" w14:textId="77777777" w:rsidR="00616558" w:rsidRPr="0045498A" w:rsidRDefault="00616558">
      <w:pPr>
        <w:snapToGrid w:val="0"/>
        <w:spacing w:line="360" w:lineRule="auto"/>
        <w:ind w:firstLineChars="200" w:firstLine="480"/>
        <w:rPr>
          <w:rFonts w:ascii="宋体" w:hAnsi="宋体"/>
          <w:sz w:val="24"/>
        </w:rPr>
        <w:sectPr w:rsidR="00616558" w:rsidRPr="0045498A">
          <w:pgSz w:w="11910" w:h="16840"/>
          <w:pgMar w:top="1360" w:right="1180" w:bottom="1180" w:left="1300" w:header="0" w:footer="995" w:gutter="0"/>
          <w:cols w:space="720"/>
        </w:sectPr>
      </w:pPr>
    </w:p>
    <w:p w14:paraId="3FF60FEC" w14:textId="77777777" w:rsidR="00616558" w:rsidRPr="0045498A" w:rsidRDefault="00000000">
      <w:pPr>
        <w:snapToGrid w:val="0"/>
        <w:spacing w:line="360" w:lineRule="auto"/>
        <w:ind w:firstLineChars="200" w:firstLine="480"/>
        <w:rPr>
          <w:rFonts w:ascii="宋体" w:hAnsi="宋体"/>
          <w:sz w:val="24"/>
        </w:rPr>
      </w:pPr>
      <w:bookmarkStart w:id="30" w:name="第六章__发包人提供的资料"/>
      <w:bookmarkEnd w:id="30"/>
      <w:r w:rsidRPr="0045498A">
        <w:rPr>
          <w:rFonts w:ascii="宋体" w:hAnsi="宋体" w:hint="eastAsia"/>
          <w:sz w:val="24"/>
        </w:rPr>
        <w:lastRenderedPageBreak/>
        <w:t>2、</w:t>
      </w:r>
      <w:r w:rsidRPr="0045498A">
        <w:rPr>
          <w:rFonts w:ascii="宋体" w:hAnsi="宋体"/>
          <w:sz w:val="24"/>
        </w:rPr>
        <w:t>实现安全生产防控目标。始终牢记以安全生产主体责任为核心，坚持施工过程风险防控无死角，安全隐患零容忍，安全防护全方位的目标，推进施工现场安全文明与施工作业规范有序统一的目标；打造安全精细化管理制度，实现项目安全管理专业化、管理手段信息化、日常管理精细化等目标。</w:t>
      </w:r>
    </w:p>
    <w:p w14:paraId="5DCDB4F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w:t>
      </w:r>
      <w:r w:rsidRPr="0045498A">
        <w:rPr>
          <w:rFonts w:ascii="宋体" w:hAnsi="宋体"/>
          <w:sz w:val="24"/>
        </w:rPr>
        <w:t>实现安全工地建设目标。按照安全工地建设的标准，达到“现场作业标准化、机械作业规范化、施工生产安全化”和“规章制度健全、内业资料齐全、总结经验全面”三化和三全的要求；始终坚持“安全第一”不动摇，对安全隐患“零容忍”，推进安全隐患分级治理，完善安全风险防控体系，做到关口前移、源头管控、预防为主、综合治理；杜绝重大责任伤亡事故，杜绝爆炸和火灾事故的发生，减少各类危害的发</w:t>
      </w:r>
      <w:bookmarkStart w:id="31" w:name="_bookmark7"/>
      <w:bookmarkEnd w:id="31"/>
      <w:r w:rsidRPr="0045498A">
        <w:rPr>
          <w:rFonts w:ascii="宋体" w:hAnsi="宋体" w:hint="eastAsia"/>
          <w:sz w:val="24"/>
        </w:rPr>
        <w:t>生。</w:t>
      </w:r>
    </w:p>
    <w:p w14:paraId="37A5291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建设内容</w:t>
      </w:r>
    </w:p>
    <w:p w14:paraId="5626801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一）资质要求。投标人应具有安全生产许可证，企业负责人、项目经理、专职安全员等具备相应的安全资格证书；特种作业人员花名册、证书和年审记录等要齐全，特种作业人员应保证熟悉相应的操作规程；危大工程专项施工人员应满足相应的安全培训要求。</w:t>
      </w:r>
    </w:p>
    <w:p w14:paraId="1E0CF4A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二）安全风险分级管控要求。投标人设置安全生产管理机构，制定各级安全目标责任书，逐层抓落实；建立安全生产考核制度，明确各级各部门的安全生产管理的职责，建立安全生产培训制度和安全生产检查制度；投标人应明确工程总承包项目经理为本项目的安全生产主要负责人；建立工伤事故报告、调查处理和统计制度及相应处理档案，建立事故隐患排查治理制度，建立重大危险源和事故隐患识别和管理制度；建立危险工程作业审批制度，建立特种设备安全管理制度，建立特种作业人员管理制度。</w:t>
      </w:r>
    </w:p>
    <w:p w14:paraId="7212A5F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三）安全投入要求。投标人应严格落实项目预算中的安全生产资料投入的要求，并做好相应的使用记录；安全费用的投入应有统计总表和分类分项列支情况记录；安全培训费用和劳动保护用品发放要求明确的台账；制定和加强安全标识、安全标志、临建设施和安全防护费用的使用要求；保证应急救援演练和资源准备所需的费用投入；根据预算，制定安全生产资金保障制度和资金使用计划，并严格落实；为从业人员办理意外伤害保险和工伤保险。</w:t>
      </w:r>
    </w:p>
    <w:p w14:paraId="5077271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（四）重大安全隐患和风险管理要求。投标人在设计阶段应根据项目的情况进行危险源识别，风险评价和风险控制，并以表格的形式列出项目存在的危险源</w:t>
      </w:r>
      <w:r w:rsidRPr="0045498A">
        <w:rPr>
          <w:rFonts w:ascii="宋体" w:hAnsi="宋体"/>
          <w:sz w:val="24"/>
        </w:rPr>
        <w:lastRenderedPageBreak/>
        <w:t>一览表，投标人在施工阶段应根据设计阶段的危险源一览表、自身的施工经验和相关安全管理规定，制作施工现场</w:t>
      </w:r>
      <w:proofErr w:type="gramStart"/>
      <w:r w:rsidRPr="0045498A">
        <w:rPr>
          <w:rFonts w:ascii="宋体" w:hAnsi="宋体"/>
          <w:sz w:val="24"/>
        </w:rPr>
        <w:t>危险源台账</w:t>
      </w:r>
      <w:proofErr w:type="gramEnd"/>
      <w:r w:rsidRPr="0045498A">
        <w:rPr>
          <w:rFonts w:ascii="宋体" w:hAnsi="宋体"/>
          <w:sz w:val="24"/>
        </w:rPr>
        <w:t>，明确危险源级别、防范措施、应急机制、责任人和检查机制等；对已确定的危险源应建立重大危险源管理方案；对已辨识出的重大风险应进行风险评价，制定管控措施；建立健全各工种危险告知程序，提前预防。</w:t>
      </w:r>
    </w:p>
    <w:p w14:paraId="0623762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五）安全生产事故隐患排查治理常态化、闭合管理。投标人应当建立健全事故隐患排查治理制度，明确事故隐患排查、告知（预警）、整改、评估验收、报备、奖惩考核、建档等内容，逐级明确事故隐患治理责任，落实到具体岗位和人员；按有关规定对隐患排查、登记、治理等全过程予以记录，并向从业人员通报；重大事故隐患整改应当制定专项方案，确保责任、措施、资金、时限、预案到位。整改完成后应当由投标人成立事故隐患整改验收组进行专项验收，必要时可组织专家对重大事故隐患治理情况进行评估。</w:t>
      </w:r>
    </w:p>
    <w:p w14:paraId="19784CA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（六）安全培训教育要求。投标人应建立</w:t>
      </w:r>
      <w:proofErr w:type="gramStart"/>
      <w:r w:rsidRPr="0045498A">
        <w:rPr>
          <w:rFonts w:ascii="宋体" w:hAnsi="宋体"/>
          <w:sz w:val="24"/>
        </w:rPr>
        <w:t>用工台</w:t>
      </w:r>
      <w:proofErr w:type="gramEnd"/>
      <w:r w:rsidRPr="0045498A">
        <w:rPr>
          <w:rFonts w:ascii="宋体" w:hAnsi="宋体"/>
          <w:sz w:val="24"/>
        </w:rPr>
        <w:t>账，对员工进行安全培训和复工教育等，并实施安全知识考试制度，建立培训花名册和安全教育档案；制定安全培训制度和安全教育计划；建立安全检查程序和固定频率，建立隐患整改记录，检查各专项工程和设备机具验收记录，落实日常安全检查工作。</w:t>
      </w:r>
    </w:p>
    <w:p w14:paraId="372142A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七）对于符合（住房和城乡建设部令第37号）条件的工程，应根据相应管理办法严格执行，确保工程建设安全。危险性较大工程必须编制专项安全施工方案，专项安全施工方案按规定进行审批；应分三级进行书面安全技术交底，技术交底应履行签字手续。</w:t>
      </w:r>
    </w:p>
    <w:p w14:paraId="12073CBE"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八）特种设备和机械管理。应建立相应的设备一览表，特种设备的生产许可证和检测合格证书及验收记录单；建立特种设备使用登记、检查、维修、保养和试验记录台账；建立设备安全运行日常安全检查记录，设备“三证”应齐全，安装单位具备资质证书；操作人员应持证上岗，有</w:t>
      </w:r>
      <w:proofErr w:type="gramStart"/>
      <w:r w:rsidRPr="0045498A">
        <w:rPr>
          <w:rFonts w:ascii="宋体" w:hAnsi="宋体"/>
          <w:sz w:val="24"/>
        </w:rPr>
        <w:t>通讯联络</w:t>
      </w:r>
      <w:proofErr w:type="gramEnd"/>
      <w:r w:rsidRPr="0045498A">
        <w:rPr>
          <w:rFonts w:ascii="宋体" w:hAnsi="宋体"/>
          <w:sz w:val="24"/>
        </w:rPr>
        <w:t>工具；起重设备承载重量不得超过额定重量的2/3；吊笼出入口应设置防坠落措施；起重设备检测</w:t>
      </w:r>
      <w:proofErr w:type="gramStart"/>
      <w:r w:rsidRPr="0045498A">
        <w:rPr>
          <w:rFonts w:ascii="宋体" w:hAnsi="宋体"/>
          <w:sz w:val="24"/>
        </w:rPr>
        <w:t>应合格且具有</w:t>
      </w:r>
      <w:proofErr w:type="gramEnd"/>
      <w:r w:rsidRPr="0045498A">
        <w:rPr>
          <w:rFonts w:ascii="宋体" w:hAnsi="宋体"/>
          <w:sz w:val="24"/>
        </w:rPr>
        <w:t>证书，吊装前须进行试吊；塔吊、门吊基础牢固，各类起重设备保险装置、限位装置和防风防爬倾覆装置应齐全合格；要求操作人员应严格执行起重设备操作规程；进行大型安装作业时，应配备监护人员。</w:t>
      </w:r>
    </w:p>
    <w:p w14:paraId="3AB1F55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（九）建立应急救援预案。投标人应建立项目</w:t>
      </w:r>
      <w:proofErr w:type="gramStart"/>
      <w:r w:rsidRPr="0045498A">
        <w:rPr>
          <w:rFonts w:ascii="宋体" w:hAnsi="宋体"/>
          <w:sz w:val="24"/>
        </w:rPr>
        <w:t>部总体</w:t>
      </w:r>
      <w:proofErr w:type="gramEnd"/>
      <w:r w:rsidRPr="0045498A">
        <w:rPr>
          <w:rFonts w:ascii="宋体" w:hAnsi="宋体"/>
          <w:sz w:val="24"/>
        </w:rPr>
        <w:t>应急预案，施工现场应编制危险类别应急救援预案，建立应急设备与应急队伍和物资档案，应定期进行</w:t>
      </w:r>
      <w:r w:rsidRPr="0045498A">
        <w:rPr>
          <w:rFonts w:ascii="宋体" w:hAnsi="宋体"/>
          <w:sz w:val="24"/>
        </w:rPr>
        <w:lastRenderedPageBreak/>
        <w:t>应急预案演练，并做好记录和评价；加强安全工作的管理，增强应急预案的针对性、实用性和可操作性，以应急处置为核心，明确应急职责、规范应急程序、细化保障措施；同时应符合国家其他有关法律法规和规章和</w:t>
      </w:r>
      <w:r w:rsidRPr="0045498A">
        <w:rPr>
          <w:rFonts w:ascii="宋体" w:hAnsi="宋体" w:hint="eastAsia"/>
          <w:sz w:val="24"/>
        </w:rPr>
        <w:t>广东省</w:t>
      </w:r>
      <w:r w:rsidRPr="0045498A">
        <w:rPr>
          <w:rFonts w:ascii="宋体" w:hAnsi="宋体"/>
          <w:sz w:val="24"/>
        </w:rPr>
        <w:t>相关安全管理办法的规定；</w:t>
      </w:r>
    </w:p>
    <w:p w14:paraId="581E5D9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安全用电和防雷。总配电系统站址和安全应符合安全要求，符合“三级配电二级保护”要求；变压器中心线接地牢靠，一级配电箱内电器配置合理；外电防护应符合安全距离，输电线敷设规范，有电工巡视记录、维修记录等；用电应符合“</w:t>
      </w:r>
      <w:proofErr w:type="gramStart"/>
      <w:r w:rsidRPr="0045498A">
        <w:rPr>
          <w:rFonts w:ascii="宋体" w:hAnsi="宋体"/>
          <w:sz w:val="24"/>
        </w:rPr>
        <w:t>一</w:t>
      </w:r>
      <w:proofErr w:type="gramEnd"/>
      <w:r w:rsidRPr="0045498A">
        <w:rPr>
          <w:rFonts w:ascii="宋体" w:hAnsi="宋体"/>
          <w:sz w:val="24"/>
        </w:rPr>
        <w:t>机一闸</w:t>
      </w:r>
      <w:proofErr w:type="gramStart"/>
      <w:r w:rsidRPr="0045498A">
        <w:rPr>
          <w:rFonts w:ascii="宋体" w:hAnsi="宋体"/>
          <w:sz w:val="24"/>
        </w:rPr>
        <w:t>一</w:t>
      </w:r>
      <w:proofErr w:type="gramEnd"/>
      <w:r w:rsidRPr="0045498A">
        <w:rPr>
          <w:rFonts w:ascii="宋体" w:hAnsi="宋体"/>
          <w:sz w:val="24"/>
        </w:rPr>
        <w:t>漏一箱”要求，“三箱”布线，配置规范，电箱应有门有锁并有防雨防风措施；现场照明应有漏电保护，架设高度应规范；有雷击可能的部位和设备设施、作业平台等应安装避雷措施。</w:t>
      </w:r>
    </w:p>
    <w:p w14:paraId="1FF9C9F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一）施工作业现场。现场规划施工作业现场布局应合理，无交叉作业现象，物料和通道应摆放有序。现场通道应顺畅，排水应通畅，个体安全防护应符合规定，危险品存放和使用管理应规范；模板、支架及脚手架的安装和拆除应根据施工方案执行，应避免盲目拆装；10m以上脚手架应采取防风措施，支架使用前必须预压合格，施工时应有安全防护措施；预应力张拉、钢筋冷拉等作业，应按规定采取防护措施，正确使用千斤顶；设备外漏传动部分应加防护罩，露天设备应有防雨措施；电焊机外壳必须接PE线；乙炔瓶、氧气瓶保持安全距离，并设置防倾倒措施，动火作业区环境安全；应建立施工机具检修和使用台账。</w:t>
      </w:r>
    </w:p>
    <w:p w14:paraId="4CC5ED9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二）高处作业和基坑作业。严格执行《高处作业安全技术规范》规定，高处作业人员持证上岗，必须佩戴安全带和其他防护用品；作业平台脚手板敷设严密，设立通道或爬梯，脚手架外侧设立安全网；应设立安全带牢靠悬挂点；基坑边坡应规范，边沿堆积物应满足安全距离要求；应按规定采取排水降水措施，基坑支护和上下通道应满足相关规范要求。</w:t>
      </w:r>
    </w:p>
    <w:p w14:paraId="603859B3"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三）安全防护措施和标志。应具有施工周边环境职业健康安全评估书；安全警示牌应在施工现场的作业区、加工区、生活区，且位置应醒目，警示牌要统一规范，满足数量和警示要求；安全生产目标责任制和安全目标责任分解网络图制作板面上墙。</w:t>
      </w:r>
    </w:p>
    <w:p w14:paraId="6CD6096F"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四）事故处理要求。发生重大伤亡事故后，应在事故标准确定后5个工作日内按工作程序逐级上报；投标人应于每月20日前将本月事故、安全隐患清单等上报安全管理部门；投标人不得阻碍和干涉事故调查，对事故应本着“四不</w:t>
      </w:r>
      <w:r w:rsidRPr="0045498A">
        <w:rPr>
          <w:rFonts w:ascii="宋体" w:hAnsi="宋体"/>
          <w:sz w:val="24"/>
        </w:rPr>
        <w:lastRenderedPageBreak/>
        <w:t>放过”原则，秉公执法，对故意隐瞒不报、谎报、漏报等，应按规定对相关人员加重处罚。</w:t>
      </w:r>
    </w:p>
    <w:p w14:paraId="6A34C6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（十五）建立安全考核评价体系。投标人应按照国家、</w:t>
      </w:r>
      <w:r w:rsidRPr="0045498A">
        <w:rPr>
          <w:rFonts w:ascii="宋体" w:hAnsi="宋体" w:hint="eastAsia"/>
          <w:sz w:val="24"/>
        </w:rPr>
        <w:t>广东</w:t>
      </w:r>
      <w:r w:rsidRPr="0045498A">
        <w:rPr>
          <w:rFonts w:ascii="宋体" w:hAnsi="宋体"/>
          <w:sz w:val="24"/>
        </w:rPr>
        <w:t>省和</w:t>
      </w:r>
      <w:r w:rsidRPr="0045498A">
        <w:rPr>
          <w:rFonts w:ascii="宋体" w:hAnsi="宋体" w:hint="eastAsia"/>
          <w:sz w:val="24"/>
        </w:rPr>
        <w:t>广州</w:t>
      </w:r>
      <w:r w:rsidRPr="0045498A">
        <w:rPr>
          <w:rFonts w:ascii="宋体" w:hAnsi="宋体"/>
          <w:sz w:val="24"/>
        </w:rPr>
        <w:t>市等安全法律法规和条例等，加强安全生产的管理，制定切实可行的安全保障措施，建立专门的安全管理部门，确保建设过程中的安全，制定合理可行的安全生产奖励和处罚制定，并严格执行。投标人每月至少开展一次平安工地建设情况自查自纠，及时改进安全管理中的薄弱环节；每季度至少开展一次自我评价，对扣分较多的指标及反复出现的突出问题，应当采取针对性措施加以完善。投标人自我评价报告应报监理单位。</w:t>
      </w:r>
    </w:p>
    <w:p w14:paraId="05A6B13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sz w:val="24"/>
        </w:rPr>
        <w:t>（十六）安全统一管理。在施工生产过程中所有的安全事故均须如实及时统计上报，联合体牵头人负责统一管理，并承担相应的责任。将工程发包给不具备相应资质或不具备安全生产条件的单位和个人的，投标人与分包工程承包单位、个人对工程的安全共同承担责任。</w:t>
      </w:r>
    </w:p>
    <w:p w14:paraId="66E93949" w14:textId="77777777" w:rsidR="00616558" w:rsidRPr="0045498A" w:rsidRDefault="00000000">
      <w:pPr>
        <w:pStyle w:val="2"/>
        <w:spacing w:before="0" w:after="0"/>
        <w:rPr>
          <w:rFonts w:ascii="宋体" w:hAnsi="宋体"/>
          <w:color w:val="auto"/>
          <w:sz w:val="24"/>
          <w:szCs w:val="24"/>
        </w:rPr>
      </w:pPr>
      <w:r w:rsidRPr="0045498A">
        <w:rPr>
          <w:rFonts w:ascii="宋体" w:hAnsi="宋体" w:hint="eastAsia"/>
          <w:color w:val="auto"/>
          <w:sz w:val="24"/>
          <w:szCs w:val="24"/>
        </w:rPr>
        <w:t>新型冠状病毒肺炎的疫情防控</w:t>
      </w:r>
    </w:p>
    <w:p w14:paraId="1C47891A"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根据《广东省房屋市政工程工地防控新冠肺炎疫情工作指引》</w:t>
      </w:r>
      <w:r w:rsidRPr="0045498A">
        <w:rPr>
          <w:rFonts w:ascii="宋体" w:hAnsi="宋体"/>
          <w:sz w:val="24"/>
        </w:rPr>
        <w:t>。</w:t>
      </w:r>
    </w:p>
    <w:p w14:paraId="7F636D4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1.施工总承包单位是疫情防控的直接责任主体,具体负责项目疫情防控工作,实行项目经理负责制,设置疫情防控管理专员，指定1名项目领导班子成员担任,负责疫情防控组织协调。</w:t>
      </w:r>
    </w:p>
    <w:p w14:paraId="24643DE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2.配备健康管理员、保安人员和值班人员。其中,健康管理员应按照工程规模配备,不少于2人,负责收集员工健康状况、监测体温、通风消毒、发放并监督使用个人防护用品、宣传教育等。</w:t>
      </w:r>
    </w:p>
    <w:p w14:paraId="34A752D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3.编制工程项目疫情防控工作方案以及应急处置预案,明确健康检查、防疫消杀、信息登记和宣传教育等工作的分工和责任人。</w:t>
      </w:r>
    </w:p>
    <w:p w14:paraId="12218AA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4.督促项目管理人员落实疫情防控责任,负责安排专项资金,配备防疫物资(准备不少于5天的普通级别防护口罩、医用酒精/消毒水、体温计等) , 落实各项防控措施,组织日常检查巡查。</w:t>
      </w:r>
    </w:p>
    <w:p w14:paraId="2BD0D0E8"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5.与专业承包和劳务分包单位签订疫情防控协议书,明确各自的防控职责并加强监督管理督促各专业承包、劳务分包单位等落实疫情防控措施。</w:t>
      </w:r>
    </w:p>
    <w:p w14:paraId="1D0671E9" w14:textId="4CE53626" w:rsidR="00616558" w:rsidRPr="0045498A" w:rsidRDefault="00000000" w:rsidP="00FC4798">
      <w:pPr>
        <w:snapToGrid w:val="0"/>
        <w:spacing w:line="360" w:lineRule="auto"/>
        <w:ind w:firstLineChars="200" w:firstLine="480"/>
        <w:rPr>
          <w:rFonts w:ascii="宋体" w:hAnsi="宋体"/>
          <w:sz w:val="24"/>
        </w:rPr>
      </w:pPr>
      <w:r w:rsidRPr="0045498A">
        <w:rPr>
          <w:rFonts w:ascii="宋体" w:hAnsi="宋体" w:hint="eastAsia"/>
          <w:sz w:val="24"/>
        </w:rPr>
        <w:t>6.对从业人员及时进行疫情防控知识教育和培训,并提供充足的符合要求的口罩、消毒液等防护用品。</w:t>
      </w:r>
    </w:p>
    <w:p w14:paraId="1B4CBA8F" w14:textId="77777777" w:rsidR="00616558" w:rsidRPr="0045498A" w:rsidRDefault="00000000" w:rsidP="00FC4798">
      <w:pPr>
        <w:pStyle w:val="3"/>
        <w:spacing w:before="0" w:after="0" w:line="360" w:lineRule="auto"/>
        <w:ind w:left="142" w:hanging="142"/>
        <w:rPr>
          <w:rFonts w:ascii="宋体" w:hAnsi="宋体" w:cs="微软雅黑"/>
          <w:sz w:val="24"/>
          <w:szCs w:val="24"/>
        </w:rPr>
      </w:pPr>
      <w:r w:rsidRPr="0045498A">
        <w:rPr>
          <w:rFonts w:ascii="宋体" w:hAnsi="宋体" w:cs="微软雅黑" w:hint="eastAsia"/>
          <w:sz w:val="24"/>
          <w:szCs w:val="24"/>
        </w:rPr>
        <w:lastRenderedPageBreak/>
        <w:t>加强员工健康监测</w:t>
      </w:r>
    </w:p>
    <w:p w14:paraId="699DBB4A" w14:textId="77777777" w:rsidR="00616558" w:rsidRPr="0045498A" w:rsidRDefault="00000000">
      <w:pPr>
        <w:spacing w:line="360" w:lineRule="auto"/>
        <w:rPr>
          <w:rFonts w:ascii="宋体" w:hAnsi="宋体"/>
          <w:sz w:val="24"/>
        </w:rPr>
      </w:pPr>
      <w:r w:rsidRPr="0045498A">
        <w:rPr>
          <w:rFonts w:ascii="宋体" w:hAnsi="宋体" w:hint="eastAsia"/>
          <w:sz w:val="24"/>
        </w:rPr>
        <w:t>一、掌握流动人员情况。</w:t>
      </w:r>
    </w:p>
    <w:p w14:paraId="632700B0"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掌握从业人员流动情况,按照属地要求分区分类进行健康管理。提前对作业人员摸底调查，了解抵粤人员近14天内活动情况,有无到疫情严重地区(具体由各市防控指挥部确定) , 有无接触新冠肺炎病例、疑似病例。对返岗人员数量、计划出行时间等情况进行统计,做好返岗时间、健康监测、防疫物资等衔接工作。</w:t>
      </w:r>
    </w:p>
    <w:p w14:paraId="6A5254F9" w14:textId="77777777" w:rsidR="00616558" w:rsidRPr="0045498A" w:rsidRDefault="00000000">
      <w:pPr>
        <w:spacing w:line="360" w:lineRule="auto"/>
        <w:rPr>
          <w:rFonts w:ascii="宋体" w:hAnsi="宋体"/>
          <w:sz w:val="24"/>
        </w:rPr>
      </w:pPr>
      <w:r w:rsidRPr="0045498A">
        <w:rPr>
          <w:rFonts w:ascii="宋体" w:hAnsi="宋体" w:hint="eastAsia"/>
          <w:sz w:val="24"/>
        </w:rPr>
        <w:t>二、做好重点人群管理。</w:t>
      </w:r>
    </w:p>
    <w:p w14:paraId="7392CA0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对仍身处在疫情严重地区的人员,要说服其暂缓返岗。对来自疫情严重地区的人员，由企业在离人群较远地方设立集中隔离场所或在属地安排的集中隔离场所集中隔离医学观察14天,确认无异常后方可.上岗。对来自非疫情严重地区的人员,抵粤后14天内除上下班外不外出,不参与聚餐、聚会,出现发热等不适症状的,立即前往当地指定医院排查诊疗。及时掌握缺勤人员健康状况。</w:t>
      </w:r>
    </w:p>
    <w:p w14:paraId="615CFB6E" w14:textId="77777777" w:rsidR="00616558" w:rsidRPr="0045498A" w:rsidRDefault="00000000">
      <w:pPr>
        <w:spacing w:line="360" w:lineRule="auto"/>
        <w:rPr>
          <w:rFonts w:ascii="宋体" w:hAnsi="宋体"/>
          <w:sz w:val="24"/>
        </w:rPr>
      </w:pPr>
      <w:r w:rsidRPr="0045498A">
        <w:rPr>
          <w:rFonts w:ascii="宋体" w:hAnsi="宋体" w:hint="eastAsia"/>
          <w:sz w:val="24"/>
        </w:rPr>
        <w:t>三、落实健康检查和健康登记。</w:t>
      </w:r>
    </w:p>
    <w:p w14:paraId="47268E17"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设立可疑症状报告电话,员工出现发热、呼吸道症状时,要及时向本单位如实报告。做好两阶段的疫情防控工作。</w:t>
      </w:r>
    </w:p>
    <w:p w14:paraId="2D25EE1C"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第-阶段:返岗后14天内为特别防护期。对返岗人员应立即进行健康检查和登记,健康检查内容包括发热、咳嗽等疑似症状,并将健康检查内容、既往14天是否有发热、咳嗽等疑似症状以及既往14天旅行史、接触史等相关内容详细登记在健康登记册中。每天测量并记录体温,做好每日健康记录。出现发热、咳嗽等疑似症状的员工,应立即到医疗机构发热]诊就诊,无需留院观察者,应在项目设立的观察点观察,直至症状消失。</w:t>
      </w:r>
    </w:p>
    <w:p w14:paraId="232C7546"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第二阶段:返岗后14天以后为一般防护期。应做好常规防护措施,以班组(部门)为单位，每天开展健康筛查,员工上下午各测一次体温,重点筛查有无发热、咳嗽等症状,并做好记录。健康管理员每天汇总员工健康状况,按规定向当地卫生健康部门报告。发现有发热、力干咳及胸闷等症状的员工,立刻报告项目防控领导小组,并电话告知当地</w:t>
      </w:r>
      <w:proofErr w:type="gramStart"/>
      <w:r w:rsidRPr="0045498A">
        <w:rPr>
          <w:rFonts w:ascii="宋体" w:hAnsi="宋体" w:hint="eastAsia"/>
          <w:sz w:val="24"/>
        </w:rPr>
        <w:t>疾控机构</w:t>
      </w:r>
      <w:proofErr w:type="gramEnd"/>
      <w:r w:rsidRPr="0045498A">
        <w:rPr>
          <w:rFonts w:ascii="宋体" w:hAnsi="宋体" w:hint="eastAsia"/>
          <w:sz w:val="24"/>
        </w:rPr>
        <w:t>或街道/</w:t>
      </w:r>
      <w:proofErr w:type="gramStart"/>
      <w:r w:rsidRPr="0045498A">
        <w:rPr>
          <w:rFonts w:ascii="宋体" w:hAnsi="宋体" w:hint="eastAsia"/>
          <w:sz w:val="24"/>
        </w:rPr>
        <w:t>社区居</w:t>
      </w:r>
      <w:proofErr w:type="gramEnd"/>
      <w:r w:rsidRPr="0045498A">
        <w:rPr>
          <w:rFonts w:ascii="宋体" w:hAnsi="宋体" w:hint="eastAsia"/>
          <w:sz w:val="24"/>
        </w:rPr>
        <w:t>委,按其要求指引疑似患者到当地发热门诊作进一步检查或采取其他相应措施。</w:t>
      </w:r>
    </w:p>
    <w:p w14:paraId="7B9BD4BE" w14:textId="77777777" w:rsidR="00616558" w:rsidRPr="0045498A" w:rsidRDefault="00616558">
      <w:pPr>
        <w:snapToGrid w:val="0"/>
        <w:spacing w:line="360" w:lineRule="auto"/>
        <w:ind w:firstLineChars="200" w:firstLine="480"/>
        <w:rPr>
          <w:rFonts w:ascii="宋体" w:hAnsi="宋体"/>
          <w:sz w:val="24"/>
        </w:rPr>
      </w:pPr>
    </w:p>
    <w:p w14:paraId="243D86D2" w14:textId="77777777" w:rsidR="00616558" w:rsidRPr="0045498A" w:rsidRDefault="00000000" w:rsidP="00FC4798">
      <w:pPr>
        <w:pStyle w:val="3"/>
        <w:spacing w:before="0" w:after="0" w:line="360" w:lineRule="auto"/>
        <w:ind w:left="142" w:hanging="142"/>
        <w:rPr>
          <w:rFonts w:ascii="宋体" w:hAnsi="宋体" w:cs="微软雅黑"/>
          <w:sz w:val="24"/>
          <w:szCs w:val="24"/>
        </w:rPr>
      </w:pPr>
      <w:r w:rsidRPr="0045498A">
        <w:rPr>
          <w:rFonts w:ascii="宋体" w:hAnsi="宋体" w:cs="微软雅黑" w:hint="eastAsia"/>
          <w:sz w:val="24"/>
          <w:szCs w:val="24"/>
        </w:rPr>
        <w:lastRenderedPageBreak/>
        <w:t>做好工地现场防控</w:t>
      </w:r>
    </w:p>
    <w:p w14:paraId="6769DB43"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一、加强用工实名制管理。</w:t>
      </w:r>
    </w:p>
    <w:p w14:paraId="630D834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每个返岗人员通过：“粵康码”的“健康申报”功能,如实登记个人近期旅居史、接触史、身体健康状况、来</w:t>
      </w:r>
      <w:proofErr w:type="gramStart"/>
      <w:r w:rsidRPr="0045498A">
        <w:rPr>
          <w:rFonts w:ascii="宋体" w:hAnsi="宋体" w:hint="eastAsia"/>
          <w:sz w:val="24"/>
        </w:rPr>
        <w:t>粤方式</w:t>
      </w:r>
      <w:proofErr w:type="gramEnd"/>
      <w:r w:rsidRPr="0045498A">
        <w:rPr>
          <w:rFonts w:ascii="宋体" w:hAnsi="宋体" w:hint="eastAsia"/>
          <w:sz w:val="24"/>
        </w:rPr>
        <w:t>等情况。将返岗人员姓名、身份证号、手机号码等信息录入并上传用工实名制管理系统。用工实名制系统管理部门通过省统一提供的数据接口, 专人实时比对甄别来自疫情严重地区、确诊感染新冠病毒、与新冠病毒患者有亲密接触史、最近曾到发热门诊就医等重点防控人员,发现重点防控人员信息时,立即将有关情况报送当地疫情防控机构,并同时通知用人单位按疫情防控要求落实收治、隔离等措施。</w:t>
      </w:r>
    </w:p>
    <w:p w14:paraId="18728195"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二、实施全封闭管理。</w:t>
      </w:r>
    </w:p>
    <w:p w14:paraId="7BE1E07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地实施封闭式管理，办公区和施工作业区、生活区保留一个出入口,其它出入口应采取有效封闭措施。未提前录入用工实名制管理系统、未经甄别是否属于重点防控人员,或者未经当地疫情防控机构确认健康的重点防控人员,不得通过门禁卡口进入办公区和施工作业区、生活区。在所有开通的出入口(包括车辆出入口)设置体温测试点,作业人员每次进入施工现场均应进行体温测试,确认体温正常后方可进入。尽量减少非本项目人员进入,确因工作需要的,应检测体温,并询问来源地、工作单位、接触疫情发生地区人员等情况,符合要求方可进入。</w:t>
      </w:r>
    </w:p>
    <w:p w14:paraId="236DC718"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三、强化施工作业过程防控。</w:t>
      </w:r>
    </w:p>
    <w:p w14:paraId="457BB9A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尽量分班分散作业，合理划分施工区域，分区落实专人管理，限制作业人数,固定作业人员,不跨区作业。尽量不实施密闭空间、有限空间的施工作业，必须进行施工的,应严格控制人数,做好消毒、通风等防护措施，并安排专人对作业人员活动轨迹进行监控。配送材料、物资等的外来车辆进入施工现场时,车上人员不得离开驾驶室,货物、物资由项目</w:t>
      </w:r>
      <w:proofErr w:type="gramStart"/>
      <w:r w:rsidRPr="0045498A">
        <w:rPr>
          <w:rFonts w:ascii="宋体" w:hAnsi="宋体" w:hint="eastAsia"/>
          <w:sz w:val="24"/>
        </w:rPr>
        <w:t>部安排</w:t>
      </w:r>
      <w:proofErr w:type="gramEnd"/>
      <w:r w:rsidRPr="0045498A">
        <w:rPr>
          <w:rFonts w:ascii="宋体" w:hAnsi="宋体" w:hint="eastAsia"/>
          <w:sz w:val="24"/>
        </w:rPr>
        <w:t>工地内人员接收和装卸。</w:t>
      </w:r>
    </w:p>
    <w:p w14:paraId="368E6F59"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四、加强用餐管理。</w:t>
      </w:r>
    </w:p>
    <w:p w14:paraId="115272D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工地设立食堂的，必须符合国家有关卫生标准,取得食品经营许可证，食堂工作人员证件齐全。实行分时分散就餐，使用餐盒。必须循环使用餐具的务必加强清洁消毒。员工用餐时应避免面对面就坐,不与他人交谈。工地未设立食堂的,施工单位应当选择合法经营的用餐配送单位订送餐,核实相关证照,确保食品来源安全可靠。严禁从无照无证餐饮单位订餐。</w:t>
      </w:r>
    </w:p>
    <w:p w14:paraId="230C5CDA"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lastRenderedPageBreak/>
        <w:t>五、严控聚集和集体活动。</w:t>
      </w:r>
    </w:p>
    <w:p w14:paraId="2C52DA42"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进行安全教育或交底时，应选择空旷场所。必需召开的会议要缩短时间、控制规模，保持会议室空气流通，提倡召开视频或电话会议。</w:t>
      </w:r>
    </w:p>
    <w:p w14:paraId="018BDF43"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六、改善工作生活条件。</w:t>
      </w:r>
    </w:p>
    <w:p w14:paraId="6E00B32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保持工地现场通风换气，在条件允许情况下首选自然通风。如使用空调,应当确保</w:t>
      </w:r>
      <w:proofErr w:type="gramStart"/>
      <w:r w:rsidRPr="0045498A">
        <w:rPr>
          <w:rFonts w:ascii="宋体" w:hAnsi="宋体" w:hint="eastAsia"/>
          <w:sz w:val="24"/>
        </w:rPr>
        <w:t>供风安全</w:t>
      </w:r>
      <w:proofErr w:type="gramEnd"/>
      <w:r w:rsidRPr="0045498A">
        <w:rPr>
          <w:rFonts w:ascii="宋体" w:hAnsi="宋体" w:hint="eastAsia"/>
          <w:sz w:val="24"/>
        </w:rPr>
        <w:t>充足,所有排风直接排到室外，不使用空调时应当关闭回风通道。员工集体宿舍必须设置可开启式窗户,经常保持室内通风,室内高度不低于2.5m ,通道宽度不小于0.9m ,人均使用面积不小于2.5m,严禁使用通铺，每间宿舍居住人员原则上不超过6人。办公区和施工作业区、生活区的出入口、卫生间、食堂等处要设置洗手点,配备洗手液。如无洗手设备,应配备免洗消毒用品。</w:t>
      </w:r>
    </w:p>
    <w:p w14:paraId="2BE6BB23"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七、做好工作和生活场所清洁卫生消毒。</w:t>
      </w:r>
    </w:p>
    <w:p w14:paraId="4DA6016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办公区和施工作业区、宿舍、门岗、厨房、食堂、卫生间、淋浴房、洗手池、通勤工具、工程机械操作室、施工电梯等公共区域及相关物品,应由专人负责定期消毒。食堂不少于3次/天(</w:t>
      </w:r>
      <w:proofErr w:type="gramStart"/>
      <w:r w:rsidRPr="0045498A">
        <w:rPr>
          <w:rFonts w:ascii="宋体" w:hAnsi="宋体" w:hint="eastAsia"/>
          <w:sz w:val="24"/>
        </w:rPr>
        <w:t>闭餐期间</w:t>
      </w:r>
      <w:proofErr w:type="gramEnd"/>
      <w:r w:rsidRPr="0045498A">
        <w:rPr>
          <w:rFonts w:ascii="宋体" w:hAnsi="宋体" w:hint="eastAsia"/>
          <w:sz w:val="24"/>
        </w:rPr>
        <w:t>)，其他场所及设施不少于2次/天。电梯按钮、门把手等频繁接触部位应适当增加消毒次数。区分不同的消毒部位如物体表面、地面等,选择合适的消毒制品及方法,进行针对性的消毒。在各测温点和宿舍、办公区的指定位置设置口罩专用回收箱,加强垃圾箱清洁,定期进行消毒处理。加强垃圾分类管理,及时收集并清运。</w:t>
      </w:r>
    </w:p>
    <w:p w14:paraId="7490EEDC"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八、做好医务服务。</w:t>
      </w:r>
    </w:p>
    <w:p w14:paraId="77286654"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就近与医疗机构建立联系,确保员工及时得到救治或医疗服务。关心</w:t>
      </w:r>
      <w:proofErr w:type="gramStart"/>
      <w:r w:rsidRPr="0045498A">
        <w:rPr>
          <w:rFonts w:ascii="宋体" w:hAnsi="宋体" w:hint="eastAsia"/>
          <w:sz w:val="24"/>
        </w:rPr>
        <w:t>关爱员工</w:t>
      </w:r>
      <w:proofErr w:type="gramEnd"/>
      <w:r w:rsidRPr="0045498A">
        <w:rPr>
          <w:rFonts w:ascii="宋体" w:hAnsi="宋体" w:hint="eastAsia"/>
          <w:sz w:val="24"/>
        </w:rPr>
        <w:t>心理健康,及时疏解心理压力。.</w:t>
      </w:r>
    </w:p>
    <w:p w14:paraId="63EAA0D2" w14:textId="77777777" w:rsidR="00616558" w:rsidRPr="0045498A" w:rsidRDefault="00000000" w:rsidP="00FC4798">
      <w:pPr>
        <w:pStyle w:val="3"/>
        <w:spacing w:before="0" w:after="0" w:line="360" w:lineRule="auto"/>
        <w:ind w:left="142" w:hanging="142"/>
        <w:rPr>
          <w:rFonts w:ascii="宋体" w:hAnsi="宋体" w:cs="微软雅黑"/>
          <w:sz w:val="24"/>
          <w:szCs w:val="24"/>
        </w:rPr>
      </w:pPr>
      <w:r w:rsidRPr="0045498A">
        <w:rPr>
          <w:rFonts w:ascii="宋体" w:hAnsi="宋体" w:cs="微软雅黑" w:hint="eastAsia"/>
          <w:sz w:val="24"/>
          <w:szCs w:val="24"/>
        </w:rPr>
        <w:t>指导员工个人防护</w:t>
      </w:r>
    </w:p>
    <w:p w14:paraId="3B287F51"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一、加强防控宣传教育。将防控宣传教育纳入进场和每日岗前教育,通过广播、视频、网络、宣传栏、画册等方式开展防疫知识宣传;将疫情防控培训和安全技术交底相结合,提高作业人员的疫情防控和安全生产技能。</w:t>
      </w:r>
    </w:p>
    <w:p w14:paraId="1BA916E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二、落实个人防护要求。作业人员如无必要不外出。必须外出时,避免前往人群聚集尤其是空气流动性差的场所,并按照《不同人群预防新型冠状病毒感染口罩选择和使用技术指引》要求,正确佩戴口罩等防护用品。搞好个人卫生,养成勤洗手习惯，掌握正确洗手方法,使用流水洗手不少于20秒。打喷嚏或咳嗽时要</w:t>
      </w:r>
      <w:r w:rsidRPr="0045498A">
        <w:rPr>
          <w:rFonts w:ascii="宋体" w:hAnsi="宋体" w:hint="eastAsia"/>
          <w:sz w:val="24"/>
        </w:rPr>
        <w:lastRenderedPageBreak/>
        <w:t>用纸巾、手绢、衣袖等遮挡,倡导合理膳食、适量运动、规律作息等健康生活方式。</w:t>
      </w:r>
    </w:p>
    <w:p w14:paraId="40E0528A" w14:textId="77777777" w:rsidR="00616558" w:rsidRPr="0045498A" w:rsidRDefault="00000000" w:rsidP="00FC4798">
      <w:pPr>
        <w:pStyle w:val="3"/>
        <w:spacing w:before="0" w:after="0" w:line="360" w:lineRule="auto"/>
        <w:ind w:left="142" w:hanging="142"/>
        <w:jc w:val="left"/>
        <w:rPr>
          <w:rFonts w:ascii="宋体" w:hAnsi="宋体" w:cs="微软雅黑"/>
          <w:sz w:val="24"/>
          <w:szCs w:val="24"/>
        </w:rPr>
      </w:pPr>
      <w:r w:rsidRPr="0045498A">
        <w:rPr>
          <w:rFonts w:ascii="宋体" w:hAnsi="宋体" w:cs="微软雅黑" w:hint="eastAsia"/>
          <w:sz w:val="24"/>
          <w:szCs w:val="24"/>
        </w:rPr>
        <w:t>做好异常情况处置</w:t>
      </w:r>
    </w:p>
    <w:p w14:paraId="78CB61EE" w14:textId="77777777" w:rsidR="00616558" w:rsidRPr="0045498A" w:rsidRDefault="00000000">
      <w:pPr>
        <w:spacing w:line="360" w:lineRule="auto"/>
        <w:ind w:firstLineChars="200" w:firstLine="480"/>
        <w:rPr>
          <w:rFonts w:ascii="宋体" w:hAnsi="宋体"/>
          <w:sz w:val="24"/>
        </w:rPr>
      </w:pPr>
      <w:r w:rsidRPr="0045498A">
        <w:rPr>
          <w:rFonts w:ascii="宋体" w:hAnsi="宋体" w:hint="eastAsia"/>
          <w:sz w:val="24"/>
        </w:rPr>
        <w:t>一、设立临时医学观察点和隔离观察间。</w:t>
      </w:r>
    </w:p>
    <w:p w14:paraId="2D78D39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根据员工数量和工地现场等实际情况，设置- -定数量的临时医学观察点和单独隔离观察间。临时医学观察点用于初测体温≥37.3°C员工的体温复测和待送员工停留,单独隔离观察间用于不需要在医院隔离的有发热等症状人员的隔离观察。观察点要设在相对独立、通风良好的房间(可利用项目现有医务室) ,需配备1-2名工作人员,并配备红外测温仪、水银温度计、一次性医用外科口罩、消毒纸巾、医用乳胶手套、快速手消毒剂、84消毒剂等物品。</w:t>
      </w:r>
    </w:p>
    <w:p w14:paraId="0F59D92B"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二、做好出现病例后的应对处置。</w:t>
      </w:r>
    </w:p>
    <w:p w14:paraId="04ECF887"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1、启动及终止应急响应。发现1例可疑病例,应由施工现场防控领导小组决定启动应急响应。当病例已得到隔离治疗,密切接触者观察14天期满，后续无新发病例,环境得到有效消毒,经卫生健康部门]评估,应由施工现场防控领导小组决定终止应急响应。</w:t>
      </w:r>
    </w:p>
    <w:p w14:paraId="12070579"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2、处置散发病例。发现可疑病例时,应立即弓|导病例到临时医学观察点或单独隔离观察间进行留观,联系项目所在地医疗机构初步排查后,送辖区定点医院隔离诊治,同时向当地</w:t>
      </w:r>
      <w:proofErr w:type="gramStart"/>
      <w:r w:rsidRPr="0045498A">
        <w:rPr>
          <w:rFonts w:ascii="宋体" w:hAnsi="宋体" w:hint="eastAsia"/>
          <w:sz w:val="24"/>
        </w:rPr>
        <w:t>疾控机构</w:t>
      </w:r>
      <w:proofErr w:type="gramEnd"/>
      <w:r w:rsidRPr="0045498A">
        <w:rPr>
          <w:rFonts w:ascii="宋体" w:hAnsi="宋体" w:hint="eastAsia"/>
          <w:sz w:val="24"/>
        </w:rPr>
        <w:t>报告。若一周内发生2例及以上可疑病例,还应立即将聚集性疫情报告当地</w:t>
      </w:r>
      <w:proofErr w:type="gramStart"/>
      <w:r w:rsidRPr="0045498A">
        <w:rPr>
          <w:rFonts w:ascii="宋体" w:hAnsi="宋体" w:hint="eastAsia"/>
          <w:sz w:val="24"/>
        </w:rPr>
        <w:t>疾控机构</w:t>
      </w:r>
      <w:proofErr w:type="gramEnd"/>
      <w:r w:rsidRPr="0045498A">
        <w:rPr>
          <w:rFonts w:ascii="宋体" w:hAnsi="宋体" w:hint="eastAsia"/>
          <w:sz w:val="24"/>
        </w:rPr>
        <w:t>进行调查。确认发生感染病例后,要配合</w:t>
      </w:r>
      <w:proofErr w:type="gramStart"/>
      <w:r w:rsidRPr="0045498A">
        <w:rPr>
          <w:rFonts w:ascii="宋体" w:hAnsi="宋体" w:hint="eastAsia"/>
          <w:sz w:val="24"/>
        </w:rPr>
        <w:t>疾控机构</w:t>
      </w:r>
      <w:proofErr w:type="gramEnd"/>
      <w:r w:rsidRPr="0045498A">
        <w:rPr>
          <w:rFonts w:ascii="宋体" w:hAnsi="宋体" w:hint="eastAsia"/>
          <w:sz w:val="24"/>
        </w:rPr>
        <w:t>开展密切接触者流行病学调查,对所有接触过病例或无症状感染者的人员进行调查,对密切接触者进行居家或集中隔离医学观察。隔离期间出现发热、咳嗽等疑似症状,要及时送定点医院排查、诊治。除密切接触者外,对一般接触者要做好登记,并进行健康风险告知,</w:t>
      </w:r>
      <w:proofErr w:type="gramStart"/>
      <w:r w:rsidRPr="0045498A">
        <w:rPr>
          <w:rFonts w:ascii="宋体" w:hAnsi="宋体" w:hint="eastAsia"/>
          <w:sz w:val="24"/>
        </w:rPr>
        <w:t>嘱</w:t>
      </w:r>
      <w:proofErr w:type="gramEnd"/>
      <w:r w:rsidRPr="0045498A">
        <w:rPr>
          <w:rFonts w:ascii="宋体" w:hAnsi="宋体" w:hint="eastAsia"/>
          <w:sz w:val="24"/>
        </w:rPr>
        <w:t>其一旦出现发热、咳嗽等疑似症状时要及时告知工作人员,并主动告知近期活动史,做好体温检测,佩戴口罩。</w:t>
      </w:r>
    </w:p>
    <w:p w14:paraId="3269AFCD"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3、处置2例及以上聚集性病例。由疫情防控专家评估后采取相应管控措施,对发生聚集性疫情的场所实施硬隔离。是否停工和停工范围,由当地卫生健康部门、人力资源部门J和住房城乡建设部]根据现场评估结果研究决定。</w:t>
      </w:r>
    </w:p>
    <w:p w14:paraId="1B8A11D5" w14:textId="77777777" w:rsidR="00616558" w:rsidRPr="0045498A" w:rsidRDefault="00000000">
      <w:pPr>
        <w:snapToGrid w:val="0"/>
        <w:spacing w:line="360" w:lineRule="auto"/>
        <w:ind w:firstLineChars="200" w:firstLine="480"/>
        <w:rPr>
          <w:rFonts w:ascii="宋体" w:hAnsi="宋体"/>
          <w:sz w:val="24"/>
        </w:rPr>
      </w:pPr>
      <w:r w:rsidRPr="0045498A">
        <w:rPr>
          <w:rFonts w:ascii="宋体" w:hAnsi="宋体" w:hint="eastAsia"/>
          <w:sz w:val="24"/>
        </w:rPr>
        <w:t>三、落实消毒、封闭式管理等措施。出现病例后,在当地</w:t>
      </w:r>
      <w:proofErr w:type="gramStart"/>
      <w:r w:rsidRPr="0045498A">
        <w:rPr>
          <w:rFonts w:ascii="宋体" w:hAnsi="宋体" w:hint="eastAsia"/>
          <w:sz w:val="24"/>
        </w:rPr>
        <w:t>疾控机构</w:t>
      </w:r>
      <w:proofErr w:type="gramEnd"/>
      <w:r w:rsidRPr="0045498A">
        <w:rPr>
          <w:rFonts w:ascii="宋体" w:hAnsi="宋体" w:hint="eastAsia"/>
          <w:sz w:val="24"/>
        </w:rPr>
        <w:t>的指导下,按国家和省的消毒指引,做好病例所在宿舍、作业区域的清洁、随时消毒和终末</w:t>
      </w:r>
      <w:r w:rsidRPr="0045498A">
        <w:rPr>
          <w:rFonts w:ascii="宋体" w:hAnsi="宋体" w:hint="eastAsia"/>
          <w:sz w:val="24"/>
        </w:rPr>
        <w:lastRenderedPageBreak/>
        <w:t>消毒工作。做好其他区域的保洁和消毒防疫工作,特别确保人群聚集场所的通风换气和空调等公共设施及公共用具的消毒。按照当地</w:t>
      </w:r>
      <w:proofErr w:type="gramStart"/>
      <w:r w:rsidRPr="0045498A">
        <w:rPr>
          <w:rFonts w:ascii="宋体" w:hAnsi="宋体" w:hint="eastAsia"/>
          <w:sz w:val="24"/>
        </w:rPr>
        <w:t>疾控机构</w:t>
      </w:r>
      <w:proofErr w:type="gramEnd"/>
      <w:r w:rsidRPr="0045498A">
        <w:rPr>
          <w:rFonts w:ascii="宋体" w:hAnsi="宋体" w:hint="eastAsia"/>
          <w:sz w:val="24"/>
        </w:rPr>
        <w:t>的建议,启动封闭式管理，因地制宜采取宿舍、楼栋封锁等措施,严格限制人员进出,特别是严格控制外来人员、车辆进入。继续做好职工的健康监测工作,配合</w:t>
      </w:r>
      <w:proofErr w:type="gramStart"/>
      <w:r w:rsidRPr="0045498A">
        <w:rPr>
          <w:rFonts w:ascii="宋体" w:hAnsi="宋体" w:hint="eastAsia"/>
          <w:sz w:val="24"/>
        </w:rPr>
        <w:t>疾控机构</w:t>
      </w:r>
      <w:proofErr w:type="gramEnd"/>
      <w:r w:rsidRPr="0045498A">
        <w:rPr>
          <w:rFonts w:ascii="宋体" w:hAnsi="宋体" w:hint="eastAsia"/>
          <w:sz w:val="24"/>
        </w:rPr>
        <w:t>做好集中隔离医学观察人员的健康监测工作,并保障应急处置需要的设施、设备和物资供应以及餐饮、生活饮用水安全等生活保障。每天与</w:t>
      </w:r>
      <w:proofErr w:type="gramStart"/>
      <w:r w:rsidRPr="0045498A">
        <w:rPr>
          <w:rFonts w:ascii="宋体" w:hAnsi="宋体" w:hint="eastAsia"/>
          <w:sz w:val="24"/>
        </w:rPr>
        <w:t>疾控机构</w:t>
      </w:r>
      <w:proofErr w:type="gramEnd"/>
      <w:r w:rsidRPr="0045498A">
        <w:rPr>
          <w:rFonts w:ascii="宋体" w:hAnsi="宋体" w:hint="eastAsia"/>
          <w:sz w:val="24"/>
        </w:rPr>
        <w:t>进行信息沟通,及时上报最新情况。疫情期间要做好舆情监测,同时,根据确诊病例、疑似病例和密切接触人员等不同群体的实际情况,有针对性地开展心理疏导工作,稳定员工的情绪,避免过度恐慌。</w:t>
      </w:r>
    </w:p>
    <w:sectPr w:rsidR="00616558" w:rsidRPr="004549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A091" w14:textId="77777777" w:rsidR="0083333A" w:rsidRDefault="0083333A">
      <w:r>
        <w:separator/>
      </w:r>
    </w:p>
  </w:endnote>
  <w:endnote w:type="continuationSeparator" w:id="0">
    <w:p w14:paraId="0D51DE89" w14:textId="77777777" w:rsidR="0083333A" w:rsidRDefault="0083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CG Times">
    <w:altName w:val="Times New Roman"/>
    <w:charset w:val="00"/>
    <w:family w:val="roman"/>
    <w:pitch w:val="default"/>
    <w:sig w:usb0="00000000"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7DA0" w14:textId="77777777" w:rsidR="00616558" w:rsidRDefault="00000000">
    <w:pPr>
      <w:pStyle w:val="a1"/>
      <w:spacing w:line="14" w:lineRule="auto"/>
      <w:rPr>
        <w:sz w:val="20"/>
      </w:rPr>
    </w:pPr>
    <w:r>
      <w:rPr>
        <w:noProof/>
      </w:rPr>
      <mc:AlternateContent>
        <mc:Choice Requires="wps">
          <w:drawing>
            <wp:anchor distT="0" distB="0" distL="114300" distR="114300" simplePos="0" relativeHeight="251659264" behindDoc="1" locked="0" layoutInCell="1" allowOverlap="1" wp14:anchorId="61A6218C" wp14:editId="3D61E16F">
              <wp:simplePos x="0" y="0"/>
              <wp:positionH relativeFrom="page">
                <wp:posOffset>3669665</wp:posOffset>
              </wp:positionH>
              <wp:positionV relativeFrom="page">
                <wp:posOffset>9920605</wp:posOffset>
              </wp:positionV>
              <wp:extent cx="224790" cy="1524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 cy="152400"/>
                      </a:xfrm>
                      <a:prstGeom prst="rect">
                        <a:avLst/>
                      </a:prstGeom>
                      <a:noFill/>
                      <a:ln>
                        <a:noFill/>
                      </a:ln>
                    </wps:spPr>
                    <wps:txbx>
                      <w:txbxContent>
                        <w:p w14:paraId="132A4C22" w14:textId="77777777" w:rsidR="00616558" w:rsidRDefault="00000000">
                          <w:pPr>
                            <w:spacing w:before="12"/>
                            <w:ind w:left="40"/>
                            <w:rPr>
                              <w:sz w:val="18"/>
                            </w:rPr>
                          </w:pPr>
                          <w:r>
                            <w:fldChar w:fldCharType="begin"/>
                          </w:r>
                          <w:r>
                            <w:rPr>
                              <w:sz w:val="18"/>
                            </w:rPr>
                            <w:instrText xml:space="preserve"> PAGE </w:instrText>
                          </w:r>
                          <w:r>
                            <w:fldChar w:fldCharType="separate"/>
                          </w:r>
                          <w:r>
                            <w:rPr>
                              <w:sz w:val="18"/>
                            </w:rPr>
                            <w:t>81</w:t>
                          </w:r>
                          <w:r>
                            <w:fldChar w:fldCharType="end"/>
                          </w:r>
                        </w:p>
                      </w:txbxContent>
                    </wps:txbx>
                    <wps:bodyPr rot="0" vert="horz" wrap="square" lIns="0" tIns="0" rIns="0" bIns="0" anchor="t" anchorCtr="0" upright="1">
                      <a:noAutofit/>
                    </wps:bodyPr>
                  </wps:wsp>
                </a:graphicData>
              </a:graphic>
            </wp:anchor>
          </w:drawing>
        </mc:Choice>
        <mc:Fallback>
          <w:pict>
            <v:shapetype w14:anchorId="61A6218C" id="_x0000_t202" coordsize="21600,21600" o:spt="202" path="m,l,21600r21600,l21600,xe">
              <v:stroke joinstyle="miter"/>
              <v:path gradientshapeok="t" o:connecttype="rect"/>
            </v:shapetype>
            <v:shape id="文本框 2" o:spid="_x0000_s1026" type="#_x0000_t202" style="position:absolute;left:0;text-align:left;margin-left:288.95pt;margin-top:781.15pt;width:17.7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" filled="f" stroked="f">
              <v:textbox inset="0,0,0,0">
                <w:txbxContent>
                  <w:p w14:paraId="132A4C22" w14:textId="77777777" w:rsidR="00616558" w:rsidRDefault="00000000">
                    <w:pPr>
                      <w:spacing w:before="12"/>
                      <w:ind w:left="40"/>
                      <w:rPr>
                        <w:sz w:val="18"/>
                      </w:rPr>
                    </w:pPr>
                    <w:r>
                      <w:fldChar w:fldCharType="begin"/>
                    </w:r>
                    <w:r>
                      <w:rPr>
                        <w:sz w:val="18"/>
                      </w:rPr>
                      <w:instrText xml:space="preserve"> PAGE </w:instrText>
                    </w:r>
                    <w:r>
                      <w:fldChar w:fldCharType="separate"/>
                    </w:r>
                    <w:r>
                      <w:rPr>
                        <w:sz w:val="18"/>
                      </w:rPr>
                      <w:t>81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10B7" w14:textId="77777777" w:rsidR="0083333A" w:rsidRDefault="0083333A">
      <w:r>
        <w:separator/>
      </w:r>
    </w:p>
  </w:footnote>
  <w:footnote w:type="continuationSeparator" w:id="0">
    <w:p w14:paraId="25A44304" w14:textId="77777777" w:rsidR="0083333A" w:rsidRDefault="00833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226150"/>
    <w:multiLevelType w:val="singleLevel"/>
    <w:tmpl w:val="EF226150"/>
    <w:lvl w:ilvl="0">
      <w:start w:val="1"/>
      <w:numFmt w:val="decimal"/>
      <w:lvlText w:val="%1."/>
      <w:lvlJc w:val="left"/>
      <w:pPr>
        <w:tabs>
          <w:tab w:val="left" w:pos="312"/>
        </w:tabs>
      </w:pPr>
    </w:lvl>
  </w:abstractNum>
  <w:abstractNum w:abstractNumId="1" w15:restartNumberingAfterBreak="0">
    <w:nsid w:val="01E967D5"/>
    <w:multiLevelType w:val="multilevel"/>
    <w:tmpl w:val="01E967D5"/>
    <w:lvl w:ilvl="0">
      <w:start w:val="1"/>
      <w:numFmt w:val="chineseCountingThousand"/>
      <w:pStyle w:val="1"/>
      <w:lvlText w:val="%1、"/>
      <w:lvlJc w:val="left"/>
      <w:pPr>
        <w:ind w:left="0" w:firstLine="40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841DD2"/>
    <w:multiLevelType w:val="multilevel"/>
    <w:tmpl w:val="20841DD2"/>
    <w:lvl w:ilvl="0">
      <w:start w:val="1"/>
      <w:numFmt w:val="decimal"/>
      <w:pStyle w:val="10"/>
      <w:lvlText w:val="%1"/>
      <w:lvlJc w:val="left"/>
      <w:pPr>
        <w:ind w:left="1984" w:hanging="425"/>
      </w:pPr>
      <w:rPr>
        <w:rFonts w:hint="eastAsia"/>
      </w:rPr>
    </w:lvl>
    <w:lvl w:ilvl="1">
      <w:start w:val="1"/>
      <w:numFmt w:val="decimal"/>
      <w:pStyle w:val="2"/>
      <w:lvlText w:val="%1.%2"/>
      <w:lvlJc w:val="left"/>
      <w:pPr>
        <w:ind w:left="425" w:hanging="425"/>
      </w:pPr>
      <w:rPr>
        <w:rFonts w:hint="eastAsia"/>
      </w:rPr>
    </w:lvl>
    <w:lvl w:ilvl="2">
      <w:start w:val="1"/>
      <w:numFmt w:val="decimal"/>
      <w:pStyle w:val="3"/>
      <w:lvlText w:val="%1.%2.%3"/>
      <w:lvlJc w:val="left"/>
      <w:pPr>
        <w:ind w:left="4252" w:hanging="141"/>
      </w:pPr>
      <w:rPr>
        <w:rFonts w:eastAsia="宋体" w:hint="eastAsia"/>
        <w:sz w:val="28"/>
      </w:rPr>
    </w:lvl>
    <w:lvl w:ilvl="3">
      <w:start w:val="1"/>
      <w:numFmt w:val="decimal"/>
      <w:pStyle w:val="4"/>
      <w:lvlText w:val="%1.%2.%3.%4"/>
      <w:lvlJc w:val="left"/>
      <w:pPr>
        <w:ind w:left="2976" w:hanging="425"/>
      </w:pPr>
      <w:rPr>
        <w:rFonts w:hint="eastAsia"/>
      </w:rPr>
    </w:lvl>
    <w:lvl w:ilvl="4">
      <w:start w:val="1"/>
      <w:numFmt w:val="decimal"/>
      <w:pStyle w:val="5"/>
      <w:lvlText w:val="%1.%2.%3.%4.%5"/>
      <w:lvlJc w:val="left"/>
      <w:pPr>
        <w:ind w:left="425" w:hanging="425"/>
      </w:pPr>
      <w:rPr>
        <w:rFonts w:hint="eastAsia"/>
      </w:rPr>
    </w:lvl>
    <w:lvl w:ilvl="5">
      <w:start w:val="1"/>
      <w:numFmt w:val="decimal"/>
      <w:pStyle w:val="6"/>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 w15:restartNumberingAfterBreak="0">
    <w:nsid w:val="28D9536E"/>
    <w:multiLevelType w:val="multilevel"/>
    <w:tmpl w:val="28D9536E"/>
    <w:lvl w:ilvl="0">
      <w:start w:val="1"/>
      <w:numFmt w:val="upperLetter"/>
      <w:pStyle w:val="ListALPHACAPS1"/>
      <w:lvlText w:val="(%1)"/>
      <w:lvlJc w:val="left"/>
      <w:pPr>
        <w:tabs>
          <w:tab w:val="left" w:pos="624"/>
        </w:tabs>
        <w:ind w:left="624" w:hanging="624"/>
      </w:pPr>
    </w:lvl>
    <w:lvl w:ilvl="1">
      <w:start w:val="1"/>
      <w:numFmt w:val="upperLetter"/>
      <w:pStyle w:val="LISTALPHACAPS2"/>
      <w:lvlText w:val="(%2)"/>
      <w:lvlJc w:val="left"/>
      <w:pPr>
        <w:tabs>
          <w:tab w:val="left" w:pos="1417"/>
        </w:tabs>
        <w:ind w:left="1417" w:hanging="793"/>
      </w:pPr>
    </w:lvl>
    <w:lvl w:ilvl="2">
      <w:start w:val="1"/>
      <w:numFmt w:val="upperLetter"/>
      <w:pStyle w:val="LISTALPHACAPS3"/>
      <w:lvlText w:val="(%3)"/>
      <w:lvlJc w:val="left"/>
      <w:pPr>
        <w:tabs>
          <w:tab w:val="left" w:pos="1928"/>
        </w:tabs>
        <w:ind w:left="1928" w:hanging="511"/>
      </w:pPr>
    </w:lvl>
    <w:lvl w:ilvl="3">
      <w:start w:val="1"/>
      <w:numFmt w:val="lowerLetter"/>
      <w:lvlText w:val="(%4)"/>
      <w:lvlJc w:val="left"/>
      <w:pPr>
        <w:tabs>
          <w:tab w:val="left" w:pos="1928"/>
        </w:tabs>
        <w:ind w:left="1928" w:hanging="511"/>
      </w:pPr>
    </w:lvl>
    <w:lvl w:ilvl="4">
      <w:start w:val="1"/>
      <w:numFmt w:val="lowerRoman"/>
      <w:lvlText w:val="(%5)"/>
      <w:lvlJc w:val="left"/>
      <w:pPr>
        <w:tabs>
          <w:tab w:val="left" w:pos="2438"/>
        </w:tabs>
        <w:ind w:left="2438" w:hanging="510"/>
      </w:pPr>
    </w:lvl>
    <w:lvl w:ilvl="5">
      <w:start w:val="1"/>
      <w:numFmt w:val="decimal"/>
      <w:lvlText w:val="(%6)"/>
      <w:lvlJc w:val="left"/>
      <w:pPr>
        <w:tabs>
          <w:tab w:val="left" w:pos="2948"/>
        </w:tabs>
        <w:ind w:left="2948" w:hanging="51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left" w:pos="0"/>
        </w:tabs>
        <w:ind w:left="0" w:firstLine="0"/>
      </w:pPr>
    </w:lvl>
  </w:abstractNum>
  <w:abstractNum w:abstractNumId="4" w15:restartNumberingAfterBreak="0">
    <w:nsid w:val="2DEEDA86"/>
    <w:multiLevelType w:val="singleLevel"/>
    <w:tmpl w:val="2DEEDA86"/>
    <w:lvl w:ilvl="0">
      <w:start w:val="3"/>
      <w:numFmt w:val="decimal"/>
      <w:pStyle w:val="ItemList"/>
      <w:suff w:val="space"/>
      <w:lvlText w:val="%1."/>
      <w:lvlJc w:val="left"/>
    </w:lvl>
  </w:abstractNum>
  <w:abstractNum w:abstractNumId="5" w15:restartNumberingAfterBreak="0">
    <w:nsid w:val="301F5202"/>
    <w:multiLevelType w:val="multilevel"/>
    <w:tmpl w:val="301F5202"/>
    <w:lvl w:ilvl="0">
      <w:start w:val="1"/>
      <w:numFmt w:val="decimal"/>
      <w:lvlText w:val="第%1条"/>
      <w:lvlJc w:val="left"/>
      <w:pPr>
        <w:ind w:left="851" w:firstLine="0"/>
      </w:pPr>
    </w:lvl>
    <w:lvl w:ilvl="1">
      <w:start w:val="1"/>
      <w:numFmt w:val="decimal"/>
      <w:pStyle w:val="30"/>
      <w:lvlText w:val="%1.%2"/>
      <w:lvlJc w:val="left"/>
      <w:pPr>
        <w:ind w:left="991" w:hanging="567"/>
      </w:pPr>
    </w:lvl>
    <w:lvl w:ilvl="2">
      <w:start w:val="1"/>
      <w:numFmt w:val="decimal"/>
      <w:pStyle w:val="40"/>
      <w:lvlText w:val="%1.%2.%3"/>
      <w:lvlJc w:val="left"/>
      <w:pPr>
        <w:ind w:left="2835" w:hanging="567"/>
      </w:pPr>
    </w:lvl>
    <w:lvl w:ilvl="3">
      <w:start w:val="1"/>
      <w:numFmt w:val="decimal"/>
      <w:lvlText w:val="%1.%2.%3.%4"/>
      <w:lvlJc w:val="left"/>
      <w:pPr>
        <w:ind w:left="1983" w:hanging="708"/>
      </w:pPr>
    </w:lvl>
    <w:lvl w:ilvl="4">
      <w:start w:val="1"/>
      <w:numFmt w:val="decimal"/>
      <w:lvlText w:val="%1.%2.%3.%4.%5"/>
      <w:lvlJc w:val="left"/>
      <w:pPr>
        <w:ind w:left="2550" w:hanging="850"/>
      </w:pPr>
    </w:lvl>
    <w:lvl w:ilvl="5">
      <w:start w:val="1"/>
      <w:numFmt w:val="decimal"/>
      <w:lvlText w:val="%1.%2.%3.%4.%5.%6"/>
      <w:lvlJc w:val="left"/>
      <w:pPr>
        <w:ind w:left="3259" w:hanging="1134"/>
      </w:pPr>
    </w:lvl>
    <w:lvl w:ilvl="6">
      <w:start w:val="1"/>
      <w:numFmt w:val="decimal"/>
      <w:lvlText w:val="%1.%2.%3.%4.%5.%6.%7"/>
      <w:lvlJc w:val="left"/>
      <w:pPr>
        <w:ind w:left="3826" w:hanging="1276"/>
      </w:pPr>
    </w:lvl>
    <w:lvl w:ilvl="7">
      <w:start w:val="1"/>
      <w:numFmt w:val="decimal"/>
      <w:lvlText w:val="%1.%2.%3.%4.%5.%6.%7.%8"/>
      <w:lvlJc w:val="left"/>
      <w:pPr>
        <w:ind w:left="4393" w:hanging="1418"/>
      </w:pPr>
    </w:lvl>
    <w:lvl w:ilvl="8">
      <w:start w:val="1"/>
      <w:numFmt w:val="decimal"/>
      <w:lvlText w:val="%1.%2.%3.%4.%5.%6.%7.%8.%9"/>
      <w:lvlJc w:val="left"/>
      <w:pPr>
        <w:ind w:left="5101" w:hanging="1700"/>
      </w:pPr>
    </w:lvl>
  </w:abstractNum>
  <w:abstractNum w:abstractNumId="6" w15:restartNumberingAfterBreak="0">
    <w:nsid w:val="3AA800C6"/>
    <w:multiLevelType w:val="multilevel"/>
    <w:tmpl w:val="3AA800C6"/>
    <w:lvl w:ilvl="0">
      <w:start w:val="1"/>
      <w:numFmt w:val="decimal"/>
      <w:pStyle w:val="20"/>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rPr>
        <w:rFonts w:ascii="Microsoft YaHei UI" w:eastAsia="Microsoft YaHei UI" w:hint="eastAsia"/>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pStyle w:val="7"/>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5A942150"/>
    <w:multiLevelType w:val="multilevel"/>
    <w:tmpl w:val="5A9421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BD6C99"/>
    <w:multiLevelType w:val="multilevel"/>
    <w:tmpl w:val="61BD6C99"/>
    <w:lvl w:ilvl="0">
      <w:start w:val="1"/>
      <w:numFmt w:val="lowerRoman"/>
      <w:pStyle w:val="Title5"/>
      <w:lvlText w:val="(%1)"/>
      <w:lvlJc w:val="left"/>
      <w:pPr>
        <w:ind w:left="1560" w:hanging="7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15:restartNumberingAfterBreak="0">
    <w:nsid w:val="62687BB6"/>
    <w:multiLevelType w:val="multilevel"/>
    <w:tmpl w:val="62687BB6"/>
    <w:lvl w:ilvl="0">
      <w:start w:val="1"/>
      <w:numFmt w:val="decimal"/>
      <w:pStyle w:val="a"/>
      <w:lvlText w:val="附件%1"/>
      <w:lvlJc w:val="left"/>
      <w:pPr>
        <w:ind w:left="3681" w:hanging="420"/>
      </w:pPr>
      <w:rPr>
        <w:sz w:val="30"/>
        <w:szCs w:val="30"/>
      </w:rPr>
    </w:lvl>
    <w:lvl w:ilvl="1">
      <w:start w:val="1"/>
      <w:numFmt w:val="lowerLetter"/>
      <w:lvlText w:val="%2)"/>
      <w:lvlJc w:val="left"/>
      <w:pPr>
        <w:ind w:left="983" w:hanging="420"/>
      </w:pPr>
    </w:lvl>
    <w:lvl w:ilvl="2">
      <w:start w:val="1"/>
      <w:numFmt w:val="lowerRoman"/>
      <w:lvlText w:val="%3."/>
      <w:lvlJc w:val="right"/>
      <w:pPr>
        <w:ind w:left="1403" w:hanging="420"/>
      </w:pPr>
    </w:lvl>
    <w:lvl w:ilvl="3">
      <w:start w:val="1"/>
      <w:numFmt w:val="decimal"/>
      <w:lvlText w:val="%4."/>
      <w:lvlJc w:val="left"/>
      <w:pPr>
        <w:ind w:left="1823" w:hanging="420"/>
      </w:pPr>
    </w:lvl>
    <w:lvl w:ilvl="4">
      <w:start w:val="1"/>
      <w:numFmt w:val="lowerLetter"/>
      <w:lvlText w:val="%5)"/>
      <w:lvlJc w:val="left"/>
      <w:pPr>
        <w:ind w:left="2243" w:hanging="420"/>
      </w:pPr>
    </w:lvl>
    <w:lvl w:ilvl="5">
      <w:start w:val="1"/>
      <w:numFmt w:val="lowerRoman"/>
      <w:lvlText w:val="%6."/>
      <w:lvlJc w:val="right"/>
      <w:pPr>
        <w:ind w:left="2663" w:hanging="420"/>
      </w:pPr>
    </w:lvl>
    <w:lvl w:ilvl="6">
      <w:start w:val="1"/>
      <w:numFmt w:val="decimal"/>
      <w:lvlText w:val="%7."/>
      <w:lvlJc w:val="left"/>
      <w:pPr>
        <w:ind w:left="3083" w:hanging="420"/>
      </w:pPr>
    </w:lvl>
    <w:lvl w:ilvl="7">
      <w:start w:val="1"/>
      <w:numFmt w:val="lowerLetter"/>
      <w:lvlText w:val="%8)"/>
      <w:lvlJc w:val="left"/>
      <w:pPr>
        <w:ind w:left="3503" w:hanging="420"/>
      </w:pPr>
    </w:lvl>
    <w:lvl w:ilvl="8">
      <w:start w:val="1"/>
      <w:numFmt w:val="lowerRoman"/>
      <w:lvlText w:val="%9."/>
      <w:lvlJc w:val="right"/>
      <w:pPr>
        <w:ind w:left="3923" w:hanging="420"/>
      </w:pPr>
    </w:lvl>
  </w:abstractNum>
  <w:abstractNum w:abstractNumId="10" w15:restartNumberingAfterBreak="0">
    <w:nsid w:val="68AD75CC"/>
    <w:multiLevelType w:val="multilevel"/>
    <w:tmpl w:val="68AD75CC"/>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6E87019F"/>
    <w:multiLevelType w:val="multilevel"/>
    <w:tmpl w:val="6E87019F"/>
    <w:lvl w:ilvl="0">
      <w:start w:val="1"/>
      <w:numFmt w:val="chineseCountingThousand"/>
      <w:pStyle w:val="2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1C73A97"/>
    <w:multiLevelType w:val="multilevel"/>
    <w:tmpl w:val="71C73A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DF347D"/>
    <w:multiLevelType w:val="multilevel"/>
    <w:tmpl w:val="72DF347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113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543651A"/>
    <w:multiLevelType w:val="multilevel"/>
    <w:tmpl w:val="7543651A"/>
    <w:lvl w:ilvl="0">
      <w:start w:val="1"/>
      <w:numFmt w:val="lowerLetter"/>
      <w:pStyle w:val="Title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26149497">
    <w:abstractNumId w:val="2"/>
  </w:num>
  <w:num w:numId="2" w16cid:durableId="1758476746">
    <w:abstractNumId w:val="4"/>
  </w:num>
  <w:num w:numId="3" w16cid:durableId="1618682416">
    <w:abstractNumId w:val="11"/>
  </w:num>
  <w:num w:numId="4" w16cid:durableId="168712776">
    <w:abstractNumId w:val="5"/>
  </w:num>
  <w:num w:numId="5" w16cid:durableId="953176341">
    <w:abstractNumId w:val="9"/>
  </w:num>
  <w:num w:numId="6" w16cid:durableId="1247809219">
    <w:abstractNumId w:val="13"/>
  </w:num>
  <w:num w:numId="7" w16cid:durableId="196159294">
    <w:abstractNumId w:val="6"/>
  </w:num>
  <w:num w:numId="8" w16cid:durableId="1414661871">
    <w:abstractNumId w:val="8"/>
  </w:num>
  <w:num w:numId="9" w16cid:durableId="896235522">
    <w:abstractNumId w:val="14"/>
  </w:num>
  <w:num w:numId="10" w16cid:durableId="1685092178">
    <w:abstractNumId w:val="1"/>
  </w:num>
  <w:num w:numId="11" w16cid:durableId="1728452598">
    <w:abstractNumId w:val="3"/>
  </w:num>
  <w:num w:numId="12" w16cid:durableId="903569658">
    <w:abstractNumId w:val="0"/>
  </w:num>
  <w:num w:numId="13" w16cid:durableId="1527059538">
    <w:abstractNumId w:val="10"/>
  </w:num>
  <w:num w:numId="14" w16cid:durableId="1639218529">
    <w:abstractNumId w:val="12"/>
  </w:num>
  <w:num w:numId="15" w16cid:durableId="21165531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9"/>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6EF"/>
    <w:rsid w:val="00003EDF"/>
    <w:rsid w:val="00005301"/>
    <w:rsid w:val="000059A9"/>
    <w:rsid w:val="000064F7"/>
    <w:rsid w:val="00006E3B"/>
    <w:rsid w:val="00007904"/>
    <w:rsid w:val="0001036A"/>
    <w:rsid w:val="0001067E"/>
    <w:rsid w:val="00010BD0"/>
    <w:rsid w:val="00010CE6"/>
    <w:rsid w:val="00013D44"/>
    <w:rsid w:val="00014736"/>
    <w:rsid w:val="000150D7"/>
    <w:rsid w:val="00020B77"/>
    <w:rsid w:val="00021F5F"/>
    <w:rsid w:val="00023C45"/>
    <w:rsid w:val="00025F5B"/>
    <w:rsid w:val="0002600B"/>
    <w:rsid w:val="00030ABB"/>
    <w:rsid w:val="00032BCC"/>
    <w:rsid w:val="000335E1"/>
    <w:rsid w:val="00034F9F"/>
    <w:rsid w:val="00036FA5"/>
    <w:rsid w:val="00037B42"/>
    <w:rsid w:val="000415F6"/>
    <w:rsid w:val="00042E82"/>
    <w:rsid w:val="00044177"/>
    <w:rsid w:val="0004458E"/>
    <w:rsid w:val="000447E8"/>
    <w:rsid w:val="0004505B"/>
    <w:rsid w:val="00047558"/>
    <w:rsid w:val="00047B92"/>
    <w:rsid w:val="00050F71"/>
    <w:rsid w:val="000519EF"/>
    <w:rsid w:val="00051DBE"/>
    <w:rsid w:val="000525AD"/>
    <w:rsid w:val="00052953"/>
    <w:rsid w:val="0005319C"/>
    <w:rsid w:val="00053207"/>
    <w:rsid w:val="00053983"/>
    <w:rsid w:val="000544C6"/>
    <w:rsid w:val="0005788C"/>
    <w:rsid w:val="00057A53"/>
    <w:rsid w:val="00057C82"/>
    <w:rsid w:val="00060589"/>
    <w:rsid w:val="000605E5"/>
    <w:rsid w:val="0006082F"/>
    <w:rsid w:val="000610F8"/>
    <w:rsid w:val="00064EB7"/>
    <w:rsid w:val="000654A7"/>
    <w:rsid w:val="00071430"/>
    <w:rsid w:val="00072489"/>
    <w:rsid w:val="000738CA"/>
    <w:rsid w:val="00074479"/>
    <w:rsid w:val="00075653"/>
    <w:rsid w:val="0007580B"/>
    <w:rsid w:val="000769D9"/>
    <w:rsid w:val="00076DB5"/>
    <w:rsid w:val="00083EBB"/>
    <w:rsid w:val="00085F4B"/>
    <w:rsid w:val="00086680"/>
    <w:rsid w:val="0009243A"/>
    <w:rsid w:val="00092F88"/>
    <w:rsid w:val="00093296"/>
    <w:rsid w:val="0009506F"/>
    <w:rsid w:val="00096EE0"/>
    <w:rsid w:val="000A1493"/>
    <w:rsid w:val="000A15A7"/>
    <w:rsid w:val="000A15F3"/>
    <w:rsid w:val="000A31B4"/>
    <w:rsid w:val="000A7B87"/>
    <w:rsid w:val="000A7CEB"/>
    <w:rsid w:val="000A7E8A"/>
    <w:rsid w:val="000B38EA"/>
    <w:rsid w:val="000B611B"/>
    <w:rsid w:val="000B7092"/>
    <w:rsid w:val="000B7780"/>
    <w:rsid w:val="000C1639"/>
    <w:rsid w:val="000C2FC2"/>
    <w:rsid w:val="000C6303"/>
    <w:rsid w:val="000C6921"/>
    <w:rsid w:val="000D3EFE"/>
    <w:rsid w:val="000D5C4B"/>
    <w:rsid w:val="000E0221"/>
    <w:rsid w:val="000E105F"/>
    <w:rsid w:val="000E21EB"/>
    <w:rsid w:val="000E2A6A"/>
    <w:rsid w:val="000E2B84"/>
    <w:rsid w:val="000E2C45"/>
    <w:rsid w:val="000E2D00"/>
    <w:rsid w:val="000E5D32"/>
    <w:rsid w:val="000E5E84"/>
    <w:rsid w:val="000E738D"/>
    <w:rsid w:val="000E7B31"/>
    <w:rsid w:val="000F30F0"/>
    <w:rsid w:val="000F31FA"/>
    <w:rsid w:val="000F535A"/>
    <w:rsid w:val="000F5CA1"/>
    <w:rsid w:val="000F6140"/>
    <w:rsid w:val="000F63B4"/>
    <w:rsid w:val="00100136"/>
    <w:rsid w:val="001006C9"/>
    <w:rsid w:val="001022B4"/>
    <w:rsid w:val="001066B8"/>
    <w:rsid w:val="001066FD"/>
    <w:rsid w:val="00110CEE"/>
    <w:rsid w:val="00111504"/>
    <w:rsid w:val="00114B75"/>
    <w:rsid w:val="00115C6B"/>
    <w:rsid w:val="00120D1D"/>
    <w:rsid w:val="0012274B"/>
    <w:rsid w:val="001250EA"/>
    <w:rsid w:val="0012673A"/>
    <w:rsid w:val="00126758"/>
    <w:rsid w:val="00127B61"/>
    <w:rsid w:val="00133C6D"/>
    <w:rsid w:val="0013443A"/>
    <w:rsid w:val="00135DE5"/>
    <w:rsid w:val="00136BBF"/>
    <w:rsid w:val="001379D0"/>
    <w:rsid w:val="00140B4E"/>
    <w:rsid w:val="00140D95"/>
    <w:rsid w:val="00142DD7"/>
    <w:rsid w:val="00143794"/>
    <w:rsid w:val="00144937"/>
    <w:rsid w:val="00160E24"/>
    <w:rsid w:val="00161F90"/>
    <w:rsid w:val="00162172"/>
    <w:rsid w:val="00162ED8"/>
    <w:rsid w:val="00165573"/>
    <w:rsid w:val="001661AD"/>
    <w:rsid w:val="001663CA"/>
    <w:rsid w:val="00171622"/>
    <w:rsid w:val="00172A27"/>
    <w:rsid w:val="00173CF3"/>
    <w:rsid w:val="00177F6E"/>
    <w:rsid w:val="0018241A"/>
    <w:rsid w:val="00185B4B"/>
    <w:rsid w:val="0018624B"/>
    <w:rsid w:val="00187C48"/>
    <w:rsid w:val="00191663"/>
    <w:rsid w:val="00193248"/>
    <w:rsid w:val="001A0FFE"/>
    <w:rsid w:val="001A17A4"/>
    <w:rsid w:val="001A39E1"/>
    <w:rsid w:val="001A489A"/>
    <w:rsid w:val="001B14B7"/>
    <w:rsid w:val="001B275F"/>
    <w:rsid w:val="001B4396"/>
    <w:rsid w:val="001B49CD"/>
    <w:rsid w:val="001B570F"/>
    <w:rsid w:val="001C49EC"/>
    <w:rsid w:val="001C5AB9"/>
    <w:rsid w:val="001C6A09"/>
    <w:rsid w:val="001C6DBF"/>
    <w:rsid w:val="001D2519"/>
    <w:rsid w:val="001D2BAA"/>
    <w:rsid w:val="001D30AC"/>
    <w:rsid w:val="001D514C"/>
    <w:rsid w:val="001D524E"/>
    <w:rsid w:val="001D727A"/>
    <w:rsid w:val="001D7451"/>
    <w:rsid w:val="001E0CD2"/>
    <w:rsid w:val="001E3215"/>
    <w:rsid w:val="001E4F1A"/>
    <w:rsid w:val="001F0234"/>
    <w:rsid w:val="001F3BD0"/>
    <w:rsid w:val="002014F4"/>
    <w:rsid w:val="00201A77"/>
    <w:rsid w:val="0020212A"/>
    <w:rsid w:val="00205610"/>
    <w:rsid w:val="00210644"/>
    <w:rsid w:val="00210C92"/>
    <w:rsid w:val="00211221"/>
    <w:rsid w:val="002125D7"/>
    <w:rsid w:val="00213331"/>
    <w:rsid w:val="00216B69"/>
    <w:rsid w:val="00223856"/>
    <w:rsid w:val="00225413"/>
    <w:rsid w:val="00226D75"/>
    <w:rsid w:val="00227617"/>
    <w:rsid w:val="002277DD"/>
    <w:rsid w:val="00231EC9"/>
    <w:rsid w:val="00234457"/>
    <w:rsid w:val="00236FFF"/>
    <w:rsid w:val="00241BDD"/>
    <w:rsid w:val="0024295B"/>
    <w:rsid w:val="00246936"/>
    <w:rsid w:val="0024739B"/>
    <w:rsid w:val="00247B30"/>
    <w:rsid w:val="00250C99"/>
    <w:rsid w:val="00251DA4"/>
    <w:rsid w:val="0025508A"/>
    <w:rsid w:val="0025545B"/>
    <w:rsid w:val="002555BE"/>
    <w:rsid w:val="002606F8"/>
    <w:rsid w:val="00260949"/>
    <w:rsid w:val="0026148A"/>
    <w:rsid w:val="0026195B"/>
    <w:rsid w:val="00264A2C"/>
    <w:rsid w:val="00265306"/>
    <w:rsid w:val="00265855"/>
    <w:rsid w:val="00267456"/>
    <w:rsid w:val="002728AD"/>
    <w:rsid w:val="00276F1B"/>
    <w:rsid w:val="00281FDB"/>
    <w:rsid w:val="002832D6"/>
    <w:rsid w:val="0028454B"/>
    <w:rsid w:val="0028467E"/>
    <w:rsid w:val="00285AEE"/>
    <w:rsid w:val="002861C0"/>
    <w:rsid w:val="00287269"/>
    <w:rsid w:val="002873D6"/>
    <w:rsid w:val="00290203"/>
    <w:rsid w:val="00290CDD"/>
    <w:rsid w:val="00291F96"/>
    <w:rsid w:val="0029348F"/>
    <w:rsid w:val="00294DA7"/>
    <w:rsid w:val="0029654A"/>
    <w:rsid w:val="00296A16"/>
    <w:rsid w:val="00296D35"/>
    <w:rsid w:val="002A0E7D"/>
    <w:rsid w:val="002A0FF9"/>
    <w:rsid w:val="002A2493"/>
    <w:rsid w:val="002A24A8"/>
    <w:rsid w:val="002A351A"/>
    <w:rsid w:val="002A5DBC"/>
    <w:rsid w:val="002A7A4A"/>
    <w:rsid w:val="002B114D"/>
    <w:rsid w:val="002B7B2B"/>
    <w:rsid w:val="002B7DEE"/>
    <w:rsid w:val="002C205D"/>
    <w:rsid w:val="002C2DBC"/>
    <w:rsid w:val="002C38D3"/>
    <w:rsid w:val="002C4FF0"/>
    <w:rsid w:val="002C7836"/>
    <w:rsid w:val="002D12AB"/>
    <w:rsid w:val="002D15ED"/>
    <w:rsid w:val="002D1F7A"/>
    <w:rsid w:val="002D2AF2"/>
    <w:rsid w:val="002E0167"/>
    <w:rsid w:val="002F0C89"/>
    <w:rsid w:val="0030015E"/>
    <w:rsid w:val="00300833"/>
    <w:rsid w:val="0030086D"/>
    <w:rsid w:val="00313352"/>
    <w:rsid w:val="003133D6"/>
    <w:rsid w:val="0031470D"/>
    <w:rsid w:val="00315C5B"/>
    <w:rsid w:val="00316941"/>
    <w:rsid w:val="003204E9"/>
    <w:rsid w:val="0032081A"/>
    <w:rsid w:val="00320F01"/>
    <w:rsid w:val="00322083"/>
    <w:rsid w:val="003239AF"/>
    <w:rsid w:val="003256BD"/>
    <w:rsid w:val="0032665B"/>
    <w:rsid w:val="00330F73"/>
    <w:rsid w:val="0033174A"/>
    <w:rsid w:val="003332F0"/>
    <w:rsid w:val="00334567"/>
    <w:rsid w:val="003376B4"/>
    <w:rsid w:val="0034106B"/>
    <w:rsid w:val="0034286D"/>
    <w:rsid w:val="00343D9A"/>
    <w:rsid w:val="00344F90"/>
    <w:rsid w:val="003458BC"/>
    <w:rsid w:val="0034707D"/>
    <w:rsid w:val="003475CC"/>
    <w:rsid w:val="00350040"/>
    <w:rsid w:val="003505B0"/>
    <w:rsid w:val="00350B88"/>
    <w:rsid w:val="00351C43"/>
    <w:rsid w:val="00354310"/>
    <w:rsid w:val="00357472"/>
    <w:rsid w:val="00363145"/>
    <w:rsid w:val="00363298"/>
    <w:rsid w:val="003635B0"/>
    <w:rsid w:val="003636BD"/>
    <w:rsid w:val="00365D7B"/>
    <w:rsid w:val="00371053"/>
    <w:rsid w:val="003710FE"/>
    <w:rsid w:val="00372F9E"/>
    <w:rsid w:val="00373047"/>
    <w:rsid w:val="00373DCE"/>
    <w:rsid w:val="00374957"/>
    <w:rsid w:val="00386974"/>
    <w:rsid w:val="0039042B"/>
    <w:rsid w:val="003933E4"/>
    <w:rsid w:val="0039599C"/>
    <w:rsid w:val="003961A4"/>
    <w:rsid w:val="00397707"/>
    <w:rsid w:val="003A2726"/>
    <w:rsid w:val="003A3796"/>
    <w:rsid w:val="003A500E"/>
    <w:rsid w:val="003A7A6A"/>
    <w:rsid w:val="003B4824"/>
    <w:rsid w:val="003B486B"/>
    <w:rsid w:val="003C0C71"/>
    <w:rsid w:val="003C1D52"/>
    <w:rsid w:val="003C1EB8"/>
    <w:rsid w:val="003C273B"/>
    <w:rsid w:val="003C7602"/>
    <w:rsid w:val="003D0D80"/>
    <w:rsid w:val="003D0D93"/>
    <w:rsid w:val="003D2C07"/>
    <w:rsid w:val="003D2C25"/>
    <w:rsid w:val="003D3BC0"/>
    <w:rsid w:val="003D54BD"/>
    <w:rsid w:val="003D6CEF"/>
    <w:rsid w:val="003E08B4"/>
    <w:rsid w:val="003E1AA5"/>
    <w:rsid w:val="003E5053"/>
    <w:rsid w:val="003E5BB4"/>
    <w:rsid w:val="003E6D37"/>
    <w:rsid w:val="003E7287"/>
    <w:rsid w:val="003E7808"/>
    <w:rsid w:val="003F01ED"/>
    <w:rsid w:val="003F055C"/>
    <w:rsid w:val="003F1160"/>
    <w:rsid w:val="003F4600"/>
    <w:rsid w:val="003F5E10"/>
    <w:rsid w:val="003F5EE7"/>
    <w:rsid w:val="003F6559"/>
    <w:rsid w:val="003F7115"/>
    <w:rsid w:val="003F7A63"/>
    <w:rsid w:val="0040040A"/>
    <w:rsid w:val="00400901"/>
    <w:rsid w:val="0040146E"/>
    <w:rsid w:val="00401873"/>
    <w:rsid w:val="00402F58"/>
    <w:rsid w:val="00403A9E"/>
    <w:rsid w:val="00404D74"/>
    <w:rsid w:val="00405BFB"/>
    <w:rsid w:val="00406BC5"/>
    <w:rsid w:val="0041063F"/>
    <w:rsid w:val="00410C64"/>
    <w:rsid w:val="00411352"/>
    <w:rsid w:val="004132DC"/>
    <w:rsid w:val="00415B2D"/>
    <w:rsid w:val="00420BF9"/>
    <w:rsid w:val="00422F6B"/>
    <w:rsid w:val="0042617F"/>
    <w:rsid w:val="0042716B"/>
    <w:rsid w:val="00430548"/>
    <w:rsid w:val="0043220A"/>
    <w:rsid w:val="00432E8F"/>
    <w:rsid w:val="0043428D"/>
    <w:rsid w:val="00434D0B"/>
    <w:rsid w:val="00436667"/>
    <w:rsid w:val="004370FF"/>
    <w:rsid w:val="00437B91"/>
    <w:rsid w:val="00441B8E"/>
    <w:rsid w:val="00442A53"/>
    <w:rsid w:val="00442F16"/>
    <w:rsid w:val="00447D7F"/>
    <w:rsid w:val="004501A5"/>
    <w:rsid w:val="00450B57"/>
    <w:rsid w:val="004517C4"/>
    <w:rsid w:val="00452644"/>
    <w:rsid w:val="00452DE4"/>
    <w:rsid w:val="0045498A"/>
    <w:rsid w:val="00455229"/>
    <w:rsid w:val="00456063"/>
    <w:rsid w:val="0045699A"/>
    <w:rsid w:val="00457285"/>
    <w:rsid w:val="0046042D"/>
    <w:rsid w:val="004604FB"/>
    <w:rsid w:val="00462664"/>
    <w:rsid w:val="00462B6D"/>
    <w:rsid w:val="004631B4"/>
    <w:rsid w:val="00465106"/>
    <w:rsid w:val="00466AAC"/>
    <w:rsid w:val="00466C4B"/>
    <w:rsid w:val="00471462"/>
    <w:rsid w:val="00474FCD"/>
    <w:rsid w:val="00475A02"/>
    <w:rsid w:val="00475E10"/>
    <w:rsid w:val="004831E7"/>
    <w:rsid w:val="00487855"/>
    <w:rsid w:val="00487D1E"/>
    <w:rsid w:val="00491CC1"/>
    <w:rsid w:val="004942ED"/>
    <w:rsid w:val="00494C92"/>
    <w:rsid w:val="004A2905"/>
    <w:rsid w:val="004A4344"/>
    <w:rsid w:val="004A7ED9"/>
    <w:rsid w:val="004B011C"/>
    <w:rsid w:val="004B106B"/>
    <w:rsid w:val="004B231B"/>
    <w:rsid w:val="004B25F8"/>
    <w:rsid w:val="004B37E5"/>
    <w:rsid w:val="004B3D61"/>
    <w:rsid w:val="004B40CC"/>
    <w:rsid w:val="004B4AF0"/>
    <w:rsid w:val="004B52A7"/>
    <w:rsid w:val="004B6316"/>
    <w:rsid w:val="004C16CB"/>
    <w:rsid w:val="004C1FB8"/>
    <w:rsid w:val="004C3DAA"/>
    <w:rsid w:val="004C3FBB"/>
    <w:rsid w:val="004C4557"/>
    <w:rsid w:val="004C72C6"/>
    <w:rsid w:val="004C7755"/>
    <w:rsid w:val="004D1962"/>
    <w:rsid w:val="004D23FF"/>
    <w:rsid w:val="004D2B70"/>
    <w:rsid w:val="004D3527"/>
    <w:rsid w:val="004E1178"/>
    <w:rsid w:val="004E1370"/>
    <w:rsid w:val="004E5254"/>
    <w:rsid w:val="004F64D1"/>
    <w:rsid w:val="004F709A"/>
    <w:rsid w:val="00500413"/>
    <w:rsid w:val="005016C8"/>
    <w:rsid w:val="005022F1"/>
    <w:rsid w:val="00503308"/>
    <w:rsid w:val="005036B5"/>
    <w:rsid w:val="00504DE2"/>
    <w:rsid w:val="00505382"/>
    <w:rsid w:val="005059FB"/>
    <w:rsid w:val="00505B2D"/>
    <w:rsid w:val="005067A6"/>
    <w:rsid w:val="00506E2D"/>
    <w:rsid w:val="00506E38"/>
    <w:rsid w:val="0050779D"/>
    <w:rsid w:val="00511549"/>
    <w:rsid w:val="00511849"/>
    <w:rsid w:val="00511DBC"/>
    <w:rsid w:val="00513B1F"/>
    <w:rsid w:val="00514BD4"/>
    <w:rsid w:val="005157DB"/>
    <w:rsid w:val="005217A1"/>
    <w:rsid w:val="00521A48"/>
    <w:rsid w:val="005239F7"/>
    <w:rsid w:val="00527C2F"/>
    <w:rsid w:val="00530975"/>
    <w:rsid w:val="00533236"/>
    <w:rsid w:val="00533A05"/>
    <w:rsid w:val="00535359"/>
    <w:rsid w:val="00536E41"/>
    <w:rsid w:val="00537905"/>
    <w:rsid w:val="005379A0"/>
    <w:rsid w:val="00540B8D"/>
    <w:rsid w:val="00540C01"/>
    <w:rsid w:val="00542657"/>
    <w:rsid w:val="00542850"/>
    <w:rsid w:val="00544BE8"/>
    <w:rsid w:val="005451EC"/>
    <w:rsid w:val="00546513"/>
    <w:rsid w:val="0055042C"/>
    <w:rsid w:val="00550562"/>
    <w:rsid w:val="00550DBB"/>
    <w:rsid w:val="00552811"/>
    <w:rsid w:val="005530C9"/>
    <w:rsid w:val="0055619B"/>
    <w:rsid w:val="00556974"/>
    <w:rsid w:val="00556BD0"/>
    <w:rsid w:val="005573C2"/>
    <w:rsid w:val="00561301"/>
    <w:rsid w:val="005651DD"/>
    <w:rsid w:val="00566F83"/>
    <w:rsid w:val="00570044"/>
    <w:rsid w:val="0057046D"/>
    <w:rsid w:val="00571877"/>
    <w:rsid w:val="005731FF"/>
    <w:rsid w:val="0057327B"/>
    <w:rsid w:val="00573960"/>
    <w:rsid w:val="00575AA3"/>
    <w:rsid w:val="00575D79"/>
    <w:rsid w:val="00575E28"/>
    <w:rsid w:val="00576A64"/>
    <w:rsid w:val="0058495F"/>
    <w:rsid w:val="00590CEE"/>
    <w:rsid w:val="00593857"/>
    <w:rsid w:val="00593B3F"/>
    <w:rsid w:val="0059444B"/>
    <w:rsid w:val="0059486C"/>
    <w:rsid w:val="005A1597"/>
    <w:rsid w:val="005A6529"/>
    <w:rsid w:val="005B0B34"/>
    <w:rsid w:val="005B0F4F"/>
    <w:rsid w:val="005B1061"/>
    <w:rsid w:val="005B2007"/>
    <w:rsid w:val="005B3433"/>
    <w:rsid w:val="005B5D8C"/>
    <w:rsid w:val="005C0AA6"/>
    <w:rsid w:val="005C19AA"/>
    <w:rsid w:val="005C2052"/>
    <w:rsid w:val="005C4004"/>
    <w:rsid w:val="005C6A7B"/>
    <w:rsid w:val="005C6E3C"/>
    <w:rsid w:val="005C71BE"/>
    <w:rsid w:val="005D0169"/>
    <w:rsid w:val="005D0A2A"/>
    <w:rsid w:val="005D0FFF"/>
    <w:rsid w:val="005D20A7"/>
    <w:rsid w:val="005D283D"/>
    <w:rsid w:val="005D3873"/>
    <w:rsid w:val="005D408C"/>
    <w:rsid w:val="005D5510"/>
    <w:rsid w:val="005D5F66"/>
    <w:rsid w:val="005D7ABD"/>
    <w:rsid w:val="005E17F8"/>
    <w:rsid w:val="005E3C9A"/>
    <w:rsid w:val="005F182D"/>
    <w:rsid w:val="005F3AF2"/>
    <w:rsid w:val="005F6967"/>
    <w:rsid w:val="005F7CE3"/>
    <w:rsid w:val="00600DC8"/>
    <w:rsid w:val="00601808"/>
    <w:rsid w:val="00610490"/>
    <w:rsid w:val="0061150D"/>
    <w:rsid w:val="00613E3A"/>
    <w:rsid w:val="00616558"/>
    <w:rsid w:val="00616F43"/>
    <w:rsid w:val="00620715"/>
    <w:rsid w:val="00620ED9"/>
    <w:rsid w:val="0062217A"/>
    <w:rsid w:val="00623555"/>
    <w:rsid w:val="00625850"/>
    <w:rsid w:val="00626298"/>
    <w:rsid w:val="00626AE7"/>
    <w:rsid w:val="00631494"/>
    <w:rsid w:val="0063285F"/>
    <w:rsid w:val="00637CC4"/>
    <w:rsid w:val="00640E6C"/>
    <w:rsid w:val="00642E9E"/>
    <w:rsid w:val="00646D0B"/>
    <w:rsid w:val="00652384"/>
    <w:rsid w:val="00653795"/>
    <w:rsid w:val="00653C16"/>
    <w:rsid w:val="00654197"/>
    <w:rsid w:val="006558ED"/>
    <w:rsid w:val="00655F09"/>
    <w:rsid w:val="00657541"/>
    <w:rsid w:val="00661175"/>
    <w:rsid w:val="006612AC"/>
    <w:rsid w:val="00662C81"/>
    <w:rsid w:val="0066364C"/>
    <w:rsid w:val="00670EF8"/>
    <w:rsid w:val="0067128D"/>
    <w:rsid w:val="00671F16"/>
    <w:rsid w:val="00675375"/>
    <w:rsid w:val="00675399"/>
    <w:rsid w:val="00682157"/>
    <w:rsid w:val="00683211"/>
    <w:rsid w:val="00684751"/>
    <w:rsid w:val="00691423"/>
    <w:rsid w:val="00693630"/>
    <w:rsid w:val="00693971"/>
    <w:rsid w:val="0069449C"/>
    <w:rsid w:val="00694B2E"/>
    <w:rsid w:val="00695CA5"/>
    <w:rsid w:val="006977F3"/>
    <w:rsid w:val="00697A33"/>
    <w:rsid w:val="006A08A4"/>
    <w:rsid w:val="006A0C44"/>
    <w:rsid w:val="006A39A7"/>
    <w:rsid w:val="006A5F30"/>
    <w:rsid w:val="006A5FEF"/>
    <w:rsid w:val="006A6FBE"/>
    <w:rsid w:val="006A7905"/>
    <w:rsid w:val="006B0248"/>
    <w:rsid w:val="006B0464"/>
    <w:rsid w:val="006B04F6"/>
    <w:rsid w:val="006B1CD7"/>
    <w:rsid w:val="006B1ECE"/>
    <w:rsid w:val="006B2BBC"/>
    <w:rsid w:val="006B341C"/>
    <w:rsid w:val="006B64F7"/>
    <w:rsid w:val="006B7661"/>
    <w:rsid w:val="006C0EDD"/>
    <w:rsid w:val="006C367D"/>
    <w:rsid w:val="006C4789"/>
    <w:rsid w:val="006D19C8"/>
    <w:rsid w:val="006D33C9"/>
    <w:rsid w:val="006D4319"/>
    <w:rsid w:val="006D6556"/>
    <w:rsid w:val="006D69C0"/>
    <w:rsid w:val="006E32A0"/>
    <w:rsid w:val="006E4B8D"/>
    <w:rsid w:val="006E6064"/>
    <w:rsid w:val="006F1A10"/>
    <w:rsid w:val="006F35E4"/>
    <w:rsid w:val="006F7D3F"/>
    <w:rsid w:val="00700FA6"/>
    <w:rsid w:val="00703A0D"/>
    <w:rsid w:val="00710CC4"/>
    <w:rsid w:val="00710F38"/>
    <w:rsid w:val="00711419"/>
    <w:rsid w:val="007139F6"/>
    <w:rsid w:val="00715681"/>
    <w:rsid w:val="00716AE6"/>
    <w:rsid w:val="007179FE"/>
    <w:rsid w:val="00717BE4"/>
    <w:rsid w:val="00721020"/>
    <w:rsid w:val="0072138B"/>
    <w:rsid w:val="0072272C"/>
    <w:rsid w:val="00722AC8"/>
    <w:rsid w:val="00723415"/>
    <w:rsid w:val="007235AC"/>
    <w:rsid w:val="00724BE9"/>
    <w:rsid w:val="00726BEB"/>
    <w:rsid w:val="0073172B"/>
    <w:rsid w:val="00731A53"/>
    <w:rsid w:val="00731F9C"/>
    <w:rsid w:val="00737486"/>
    <w:rsid w:val="0074074F"/>
    <w:rsid w:val="0074166D"/>
    <w:rsid w:val="00741F82"/>
    <w:rsid w:val="00743F9D"/>
    <w:rsid w:val="00744062"/>
    <w:rsid w:val="0074568E"/>
    <w:rsid w:val="0074676E"/>
    <w:rsid w:val="007479A6"/>
    <w:rsid w:val="00750B07"/>
    <w:rsid w:val="007518F4"/>
    <w:rsid w:val="00751FF1"/>
    <w:rsid w:val="00752CCE"/>
    <w:rsid w:val="00756CEE"/>
    <w:rsid w:val="00761F80"/>
    <w:rsid w:val="00762803"/>
    <w:rsid w:val="00764294"/>
    <w:rsid w:val="0076552A"/>
    <w:rsid w:val="00766339"/>
    <w:rsid w:val="007673EF"/>
    <w:rsid w:val="00767AB8"/>
    <w:rsid w:val="00767FDD"/>
    <w:rsid w:val="00774F97"/>
    <w:rsid w:val="00777C45"/>
    <w:rsid w:val="00781949"/>
    <w:rsid w:val="007826EA"/>
    <w:rsid w:val="007836C0"/>
    <w:rsid w:val="0078793C"/>
    <w:rsid w:val="00787C87"/>
    <w:rsid w:val="00790E34"/>
    <w:rsid w:val="00791D04"/>
    <w:rsid w:val="00797086"/>
    <w:rsid w:val="007A0812"/>
    <w:rsid w:val="007A42F2"/>
    <w:rsid w:val="007A59F5"/>
    <w:rsid w:val="007B0D28"/>
    <w:rsid w:val="007B1B8E"/>
    <w:rsid w:val="007B25D2"/>
    <w:rsid w:val="007B446E"/>
    <w:rsid w:val="007B7F8D"/>
    <w:rsid w:val="007C3F39"/>
    <w:rsid w:val="007C45FC"/>
    <w:rsid w:val="007C52B0"/>
    <w:rsid w:val="007C5570"/>
    <w:rsid w:val="007C5D7C"/>
    <w:rsid w:val="007C6208"/>
    <w:rsid w:val="007C7303"/>
    <w:rsid w:val="007D1BA7"/>
    <w:rsid w:val="007D4B48"/>
    <w:rsid w:val="007D74A9"/>
    <w:rsid w:val="007D7DF5"/>
    <w:rsid w:val="007E09F1"/>
    <w:rsid w:val="007E33AA"/>
    <w:rsid w:val="007E46F1"/>
    <w:rsid w:val="007F0B21"/>
    <w:rsid w:val="007F4BBA"/>
    <w:rsid w:val="007F55C1"/>
    <w:rsid w:val="007F75EE"/>
    <w:rsid w:val="007F7B18"/>
    <w:rsid w:val="008017A6"/>
    <w:rsid w:val="008034CE"/>
    <w:rsid w:val="00805632"/>
    <w:rsid w:val="00806E5C"/>
    <w:rsid w:val="00807A96"/>
    <w:rsid w:val="0081020F"/>
    <w:rsid w:val="00811805"/>
    <w:rsid w:val="00812011"/>
    <w:rsid w:val="00812A44"/>
    <w:rsid w:val="00813CDD"/>
    <w:rsid w:val="00814F7E"/>
    <w:rsid w:val="0081789F"/>
    <w:rsid w:val="008205D2"/>
    <w:rsid w:val="00820BC4"/>
    <w:rsid w:val="008216AD"/>
    <w:rsid w:val="008226E4"/>
    <w:rsid w:val="00822BDE"/>
    <w:rsid w:val="00824968"/>
    <w:rsid w:val="0082502A"/>
    <w:rsid w:val="0082578A"/>
    <w:rsid w:val="00826CF5"/>
    <w:rsid w:val="0083333A"/>
    <w:rsid w:val="008345D3"/>
    <w:rsid w:val="00835F37"/>
    <w:rsid w:val="00836EBC"/>
    <w:rsid w:val="00836F84"/>
    <w:rsid w:val="0084194E"/>
    <w:rsid w:val="00843407"/>
    <w:rsid w:val="00844365"/>
    <w:rsid w:val="008465FD"/>
    <w:rsid w:val="00846F81"/>
    <w:rsid w:val="0084777C"/>
    <w:rsid w:val="00847D48"/>
    <w:rsid w:val="00850C2A"/>
    <w:rsid w:val="00850CF7"/>
    <w:rsid w:val="00851EA9"/>
    <w:rsid w:val="00855DDA"/>
    <w:rsid w:val="00860722"/>
    <w:rsid w:val="0086144C"/>
    <w:rsid w:val="00862813"/>
    <w:rsid w:val="00864F66"/>
    <w:rsid w:val="00865271"/>
    <w:rsid w:val="00865328"/>
    <w:rsid w:val="00865515"/>
    <w:rsid w:val="00866076"/>
    <w:rsid w:val="00866E88"/>
    <w:rsid w:val="0086738F"/>
    <w:rsid w:val="00867A0A"/>
    <w:rsid w:val="0087232B"/>
    <w:rsid w:val="0087347E"/>
    <w:rsid w:val="008738A1"/>
    <w:rsid w:val="0087521C"/>
    <w:rsid w:val="00884F9C"/>
    <w:rsid w:val="00886206"/>
    <w:rsid w:val="00886A0E"/>
    <w:rsid w:val="00887962"/>
    <w:rsid w:val="00892BFC"/>
    <w:rsid w:val="00895D25"/>
    <w:rsid w:val="008973BB"/>
    <w:rsid w:val="008A0069"/>
    <w:rsid w:val="008A075E"/>
    <w:rsid w:val="008A1421"/>
    <w:rsid w:val="008A2153"/>
    <w:rsid w:val="008A2658"/>
    <w:rsid w:val="008A274B"/>
    <w:rsid w:val="008A3B02"/>
    <w:rsid w:val="008A4056"/>
    <w:rsid w:val="008A4D8E"/>
    <w:rsid w:val="008A7FC9"/>
    <w:rsid w:val="008B0A05"/>
    <w:rsid w:val="008B473E"/>
    <w:rsid w:val="008B5D54"/>
    <w:rsid w:val="008B61C5"/>
    <w:rsid w:val="008C0BCF"/>
    <w:rsid w:val="008C12CD"/>
    <w:rsid w:val="008C2068"/>
    <w:rsid w:val="008C2E4C"/>
    <w:rsid w:val="008C5639"/>
    <w:rsid w:val="008C622A"/>
    <w:rsid w:val="008D0416"/>
    <w:rsid w:val="008D0E74"/>
    <w:rsid w:val="008D1141"/>
    <w:rsid w:val="008D11C9"/>
    <w:rsid w:val="008D2370"/>
    <w:rsid w:val="008D2968"/>
    <w:rsid w:val="008D2CA3"/>
    <w:rsid w:val="008D73CE"/>
    <w:rsid w:val="008E0B15"/>
    <w:rsid w:val="008E1D51"/>
    <w:rsid w:val="008E2272"/>
    <w:rsid w:val="008E2D96"/>
    <w:rsid w:val="008E4CBE"/>
    <w:rsid w:val="008E71CB"/>
    <w:rsid w:val="008F020E"/>
    <w:rsid w:val="008F15DF"/>
    <w:rsid w:val="008F185A"/>
    <w:rsid w:val="008F500A"/>
    <w:rsid w:val="008F6641"/>
    <w:rsid w:val="00901111"/>
    <w:rsid w:val="00902236"/>
    <w:rsid w:val="009027B6"/>
    <w:rsid w:val="009029DA"/>
    <w:rsid w:val="00903BF4"/>
    <w:rsid w:val="009044E8"/>
    <w:rsid w:val="00907060"/>
    <w:rsid w:val="0091029D"/>
    <w:rsid w:val="009117C8"/>
    <w:rsid w:val="00915156"/>
    <w:rsid w:val="0091522E"/>
    <w:rsid w:val="00915B5F"/>
    <w:rsid w:val="00920D34"/>
    <w:rsid w:val="009233E2"/>
    <w:rsid w:val="00925E72"/>
    <w:rsid w:val="00927EE6"/>
    <w:rsid w:val="0093070D"/>
    <w:rsid w:val="009322B1"/>
    <w:rsid w:val="00933940"/>
    <w:rsid w:val="00933DB3"/>
    <w:rsid w:val="00934244"/>
    <w:rsid w:val="00936040"/>
    <w:rsid w:val="009456F2"/>
    <w:rsid w:val="0094616C"/>
    <w:rsid w:val="00946A6B"/>
    <w:rsid w:val="00952FD6"/>
    <w:rsid w:val="009549A6"/>
    <w:rsid w:val="00955E04"/>
    <w:rsid w:val="00956E8A"/>
    <w:rsid w:val="00957212"/>
    <w:rsid w:val="00962958"/>
    <w:rsid w:val="0096556D"/>
    <w:rsid w:val="00966C18"/>
    <w:rsid w:val="00973ED9"/>
    <w:rsid w:val="00974A4E"/>
    <w:rsid w:val="00976E7B"/>
    <w:rsid w:val="00980091"/>
    <w:rsid w:val="00984C3C"/>
    <w:rsid w:val="009864E6"/>
    <w:rsid w:val="00992DD0"/>
    <w:rsid w:val="0099497B"/>
    <w:rsid w:val="0099555E"/>
    <w:rsid w:val="009968D1"/>
    <w:rsid w:val="009A1CD4"/>
    <w:rsid w:val="009A1F6F"/>
    <w:rsid w:val="009A2E40"/>
    <w:rsid w:val="009A3D43"/>
    <w:rsid w:val="009A54B4"/>
    <w:rsid w:val="009A591A"/>
    <w:rsid w:val="009A7F62"/>
    <w:rsid w:val="009B1C77"/>
    <w:rsid w:val="009B2319"/>
    <w:rsid w:val="009B4131"/>
    <w:rsid w:val="009B54A6"/>
    <w:rsid w:val="009B6FDE"/>
    <w:rsid w:val="009C063C"/>
    <w:rsid w:val="009C3166"/>
    <w:rsid w:val="009C4A0D"/>
    <w:rsid w:val="009C6FB4"/>
    <w:rsid w:val="009D238A"/>
    <w:rsid w:val="009D2C11"/>
    <w:rsid w:val="009D30CB"/>
    <w:rsid w:val="009D6D43"/>
    <w:rsid w:val="009E2E62"/>
    <w:rsid w:val="009E3DF6"/>
    <w:rsid w:val="009F0947"/>
    <w:rsid w:val="009F0D76"/>
    <w:rsid w:val="009F1218"/>
    <w:rsid w:val="009F31A3"/>
    <w:rsid w:val="009F43B1"/>
    <w:rsid w:val="009F6189"/>
    <w:rsid w:val="00A00256"/>
    <w:rsid w:val="00A010F5"/>
    <w:rsid w:val="00A0239F"/>
    <w:rsid w:val="00A02D53"/>
    <w:rsid w:val="00A035E3"/>
    <w:rsid w:val="00A04FDF"/>
    <w:rsid w:val="00A05F99"/>
    <w:rsid w:val="00A062BD"/>
    <w:rsid w:val="00A067AF"/>
    <w:rsid w:val="00A1068C"/>
    <w:rsid w:val="00A13CA6"/>
    <w:rsid w:val="00A13EC6"/>
    <w:rsid w:val="00A14300"/>
    <w:rsid w:val="00A14C36"/>
    <w:rsid w:val="00A155C2"/>
    <w:rsid w:val="00A15812"/>
    <w:rsid w:val="00A15ED9"/>
    <w:rsid w:val="00A165DA"/>
    <w:rsid w:val="00A1716D"/>
    <w:rsid w:val="00A175AC"/>
    <w:rsid w:val="00A17E80"/>
    <w:rsid w:val="00A202A6"/>
    <w:rsid w:val="00A219F3"/>
    <w:rsid w:val="00A22CA1"/>
    <w:rsid w:val="00A2384E"/>
    <w:rsid w:val="00A248B7"/>
    <w:rsid w:val="00A25AE4"/>
    <w:rsid w:val="00A25BC7"/>
    <w:rsid w:val="00A25D62"/>
    <w:rsid w:val="00A263DC"/>
    <w:rsid w:val="00A30DE0"/>
    <w:rsid w:val="00A3272A"/>
    <w:rsid w:val="00A3326F"/>
    <w:rsid w:val="00A3436D"/>
    <w:rsid w:val="00A3438B"/>
    <w:rsid w:val="00A365CD"/>
    <w:rsid w:val="00A40AA4"/>
    <w:rsid w:val="00A42606"/>
    <w:rsid w:val="00A4410D"/>
    <w:rsid w:val="00A4451C"/>
    <w:rsid w:val="00A44F2C"/>
    <w:rsid w:val="00A45876"/>
    <w:rsid w:val="00A46917"/>
    <w:rsid w:val="00A50670"/>
    <w:rsid w:val="00A5377B"/>
    <w:rsid w:val="00A53CB3"/>
    <w:rsid w:val="00A540F8"/>
    <w:rsid w:val="00A5446B"/>
    <w:rsid w:val="00A54EF0"/>
    <w:rsid w:val="00A575F7"/>
    <w:rsid w:val="00A57663"/>
    <w:rsid w:val="00A57705"/>
    <w:rsid w:val="00A57C2C"/>
    <w:rsid w:val="00A60143"/>
    <w:rsid w:val="00A6034A"/>
    <w:rsid w:val="00A60383"/>
    <w:rsid w:val="00A61569"/>
    <w:rsid w:val="00A623B1"/>
    <w:rsid w:val="00A6335C"/>
    <w:rsid w:val="00A640FF"/>
    <w:rsid w:val="00A64566"/>
    <w:rsid w:val="00A70D15"/>
    <w:rsid w:val="00A80697"/>
    <w:rsid w:val="00A82409"/>
    <w:rsid w:val="00A84389"/>
    <w:rsid w:val="00A84ADD"/>
    <w:rsid w:val="00A866C6"/>
    <w:rsid w:val="00A93D49"/>
    <w:rsid w:val="00A978D1"/>
    <w:rsid w:val="00AA4256"/>
    <w:rsid w:val="00AA46EB"/>
    <w:rsid w:val="00AA4BEF"/>
    <w:rsid w:val="00AA548F"/>
    <w:rsid w:val="00AA7572"/>
    <w:rsid w:val="00AB1BDA"/>
    <w:rsid w:val="00AB6BDB"/>
    <w:rsid w:val="00AB7A58"/>
    <w:rsid w:val="00AC150F"/>
    <w:rsid w:val="00AC22EC"/>
    <w:rsid w:val="00AC2BA8"/>
    <w:rsid w:val="00AC34FC"/>
    <w:rsid w:val="00AC39D5"/>
    <w:rsid w:val="00AC6AE1"/>
    <w:rsid w:val="00AD0197"/>
    <w:rsid w:val="00AD01DB"/>
    <w:rsid w:val="00AD2BA0"/>
    <w:rsid w:val="00AD4344"/>
    <w:rsid w:val="00AD4D6E"/>
    <w:rsid w:val="00AD77CC"/>
    <w:rsid w:val="00AD7A19"/>
    <w:rsid w:val="00AD7EE6"/>
    <w:rsid w:val="00AE2700"/>
    <w:rsid w:val="00AE2CBA"/>
    <w:rsid w:val="00AE5E95"/>
    <w:rsid w:val="00AE7464"/>
    <w:rsid w:val="00AE7FC2"/>
    <w:rsid w:val="00AF239E"/>
    <w:rsid w:val="00AF23AB"/>
    <w:rsid w:val="00AF2614"/>
    <w:rsid w:val="00AF2CA4"/>
    <w:rsid w:val="00AF39F5"/>
    <w:rsid w:val="00AF64BB"/>
    <w:rsid w:val="00AF6F7A"/>
    <w:rsid w:val="00AF79F1"/>
    <w:rsid w:val="00B059CF"/>
    <w:rsid w:val="00B10685"/>
    <w:rsid w:val="00B10FF1"/>
    <w:rsid w:val="00B11044"/>
    <w:rsid w:val="00B129D0"/>
    <w:rsid w:val="00B13E59"/>
    <w:rsid w:val="00B140F1"/>
    <w:rsid w:val="00B161F6"/>
    <w:rsid w:val="00B21F8E"/>
    <w:rsid w:val="00B2302E"/>
    <w:rsid w:val="00B234F0"/>
    <w:rsid w:val="00B25EC5"/>
    <w:rsid w:val="00B30A0D"/>
    <w:rsid w:val="00B33213"/>
    <w:rsid w:val="00B34BE0"/>
    <w:rsid w:val="00B3533B"/>
    <w:rsid w:val="00B35FA8"/>
    <w:rsid w:val="00B376D7"/>
    <w:rsid w:val="00B4003B"/>
    <w:rsid w:val="00B45950"/>
    <w:rsid w:val="00B45C41"/>
    <w:rsid w:val="00B45D4C"/>
    <w:rsid w:val="00B46467"/>
    <w:rsid w:val="00B47696"/>
    <w:rsid w:val="00B47A9D"/>
    <w:rsid w:val="00B50B93"/>
    <w:rsid w:val="00B51099"/>
    <w:rsid w:val="00B525E5"/>
    <w:rsid w:val="00B54E99"/>
    <w:rsid w:val="00B57097"/>
    <w:rsid w:val="00B603E7"/>
    <w:rsid w:val="00B61090"/>
    <w:rsid w:val="00B613FD"/>
    <w:rsid w:val="00B61AFE"/>
    <w:rsid w:val="00B62B78"/>
    <w:rsid w:val="00B635B1"/>
    <w:rsid w:val="00B706C1"/>
    <w:rsid w:val="00B7141B"/>
    <w:rsid w:val="00B72DA0"/>
    <w:rsid w:val="00B751A3"/>
    <w:rsid w:val="00B77364"/>
    <w:rsid w:val="00B77CCB"/>
    <w:rsid w:val="00B8001A"/>
    <w:rsid w:val="00B87481"/>
    <w:rsid w:val="00B875D0"/>
    <w:rsid w:val="00B927AD"/>
    <w:rsid w:val="00B92F9C"/>
    <w:rsid w:val="00B93DDD"/>
    <w:rsid w:val="00B9463C"/>
    <w:rsid w:val="00BA1C68"/>
    <w:rsid w:val="00BA4DA2"/>
    <w:rsid w:val="00BA67C4"/>
    <w:rsid w:val="00BB062E"/>
    <w:rsid w:val="00BB1AC0"/>
    <w:rsid w:val="00BB23B3"/>
    <w:rsid w:val="00BB5575"/>
    <w:rsid w:val="00BC211E"/>
    <w:rsid w:val="00BC292A"/>
    <w:rsid w:val="00BC3E67"/>
    <w:rsid w:val="00BC562F"/>
    <w:rsid w:val="00BC636E"/>
    <w:rsid w:val="00BD17A8"/>
    <w:rsid w:val="00BD45F0"/>
    <w:rsid w:val="00BD4809"/>
    <w:rsid w:val="00BD59E6"/>
    <w:rsid w:val="00BD7A32"/>
    <w:rsid w:val="00BE01C6"/>
    <w:rsid w:val="00BE0818"/>
    <w:rsid w:val="00BE419A"/>
    <w:rsid w:val="00BE533A"/>
    <w:rsid w:val="00BE637B"/>
    <w:rsid w:val="00BE7A1F"/>
    <w:rsid w:val="00BF1AA6"/>
    <w:rsid w:val="00BF1E98"/>
    <w:rsid w:val="00BF46D4"/>
    <w:rsid w:val="00BF627F"/>
    <w:rsid w:val="00C021DE"/>
    <w:rsid w:val="00C027C3"/>
    <w:rsid w:val="00C02C50"/>
    <w:rsid w:val="00C043D3"/>
    <w:rsid w:val="00C04659"/>
    <w:rsid w:val="00C05D6E"/>
    <w:rsid w:val="00C0687B"/>
    <w:rsid w:val="00C06C02"/>
    <w:rsid w:val="00C07A1F"/>
    <w:rsid w:val="00C11A72"/>
    <w:rsid w:val="00C122CE"/>
    <w:rsid w:val="00C12914"/>
    <w:rsid w:val="00C158F1"/>
    <w:rsid w:val="00C17199"/>
    <w:rsid w:val="00C17E23"/>
    <w:rsid w:val="00C2195A"/>
    <w:rsid w:val="00C21D3B"/>
    <w:rsid w:val="00C2314E"/>
    <w:rsid w:val="00C261EA"/>
    <w:rsid w:val="00C26820"/>
    <w:rsid w:val="00C309D6"/>
    <w:rsid w:val="00C30B73"/>
    <w:rsid w:val="00C314B3"/>
    <w:rsid w:val="00C31F7D"/>
    <w:rsid w:val="00C32A8A"/>
    <w:rsid w:val="00C34779"/>
    <w:rsid w:val="00C35F8B"/>
    <w:rsid w:val="00C418AE"/>
    <w:rsid w:val="00C419A6"/>
    <w:rsid w:val="00C4670C"/>
    <w:rsid w:val="00C468E9"/>
    <w:rsid w:val="00C479D6"/>
    <w:rsid w:val="00C51FDC"/>
    <w:rsid w:val="00C52189"/>
    <w:rsid w:val="00C527E3"/>
    <w:rsid w:val="00C548C7"/>
    <w:rsid w:val="00C554CD"/>
    <w:rsid w:val="00C55EE4"/>
    <w:rsid w:val="00C57E6E"/>
    <w:rsid w:val="00C61C64"/>
    <w:rsid w:val="00C61E94"/>
    <w:rsid w:val="00C6223E"/>
    <w:rsid w:val="00C62299"/>
    <w:rsid w:val="00C643A8"/>
    <w:rsid w:val="00C65552"/>
    <w:rsid w:val="00C67305"/>
    <w:rsid w:val="00C67C34"/>
    <w:rsid w:val="00C73C4E"/>
    <w:rsid w:val="00C753D7"/>
    <w:rsid w:val="00C77571"/>
    <w:rsid w:val="00C77CBE"/>
    <w:rsid w:val="00C80E3D"/>
    <w:rsid w:val="00C8347D"/>
    <w:rsid w:val="00C83C24"/>
    <w:rsid w:val="00C91B2D"/>
    <w:rsid w:val="00C940AC"/>
    <w:rsid w:val="00C950DB"/>
    <w:rsid w:val="00C967B4"/>
    <w:rsid w:val="00CA131E"/>
    <w:rsid w:val="00CA2615"/>
    <w:rsid w:val="00CA3878"/>
    <w:rsid w:val="00CA3899"/>
    <w:rsid w:val="00CA43D5"/>
    <w:rsid w:val="00CA5FF7"/>
    <w:rsid w:val="00CA632D"/>
    <w:rsid w:val="00CA6634"/>
    <w:rsid w:val="00CA7296"/>
    <w:rsid w:val="00CA730A"/>
    <w:rsid w:val="00CA7D57"/>
    <w:rsid w:val="00CB1B8C"/>
    <w:rsid w:val="00CB4AFA"/>
    <w:rsid w:val="00CB7781"/>
    <w:rsid w:val="00CC68D9"/>
    <w:rsid w:val="00CC79E5"/>
    <w:rsid w:val="00CC7A1A"/>
    <w:rsid w:val="00CD0030"/>
    <w:rsid w:val="00CD01B9"/>
    <w:rsid w:val="00CD10B6"/>
    <w:rsid w:val="00CD34AF"/>
    <w:rsid w:val="00CD4ECA"/>
    <w:rsid w:val="00CE37D8"/>
    <w:rsid w:val="00CE6C1D"/>
    <w:rsid w:val="00CF144D"/>
    <w:rsid w:val="00CF17F5"/>
    <w:rsid w:val="00D00C38"/>
    <w:rsid w:val="00D00C4B"/>
    <w:rsid w:val="00D03146"/>
    <w:rsid w:val="00D03435"/>
    <w:rsid w:val="00D03687"/>
    <w:rsid w:val="00D03930"/>
    <w:rsid w:val="00D0498A"/>
    <w:rsid w:val="00D05CF8"/>
    <w:rsid w:val="00D07F6D"/>
    <w:rsid w:val="00D107A5"/>
    <w:rsid w:val="00D12067"/>
    <w:rsid w:val="00D16ADF"/>
    <w:rsid w:val="00D16E7A"/>
    <w:rsid w:val="00D20916"/>
    <w:rsid w:val="00D22DDB"/>
    <w:rsid w:val="00D23719"/>
    <w:rsid w:val="00D2606F"/>
    <w:rsid w:val="00D2643E"/>
    <w:rsid w:val="00D300C9"/>
    <w:rsid w:val="00D30C4F"/>
    <w:rsid w:val="00D31C46"/>
    <w:rsid w:val="00D32ED8"/>
    <w:rsid w:val="00D32FB9"/>
    <w:rsid w:val="00D342BF"/>
    <w:rsid w:val="00D34911"/>
    <w:rsid w:val="00D35D47"/>
    <w:rsid w:val="00D36CC3"/>
    <w:rsid w:val="00D36EF3"/>
    <w:rsid w:val="00D37BD8"/>
    <w:rsid w:val="00D4270A"/>
    <w:rsid w:val="00D42C6C"/>
    <w:rsid w:val="00D43889"/>
    <w:rsid w:val="00D44877"/>
    <w:rsid w:val="00D461D1"/>
    <w:rsid w:val="00D46419"/>
    <w:rsid w:val="00D52E17"/>
    <w:rsid w:val="00D55BC8"/>
    <w:rsid w:val="00D61B5E"/>
    <w:rsid w:val="00D6220F"/>
    <w:rsid w:val="00D6535A"/>
    <w:rsid w:val="00D661DF"/>
    <w:rsid w:val="00D66686"/>
    <w:rsid w:val="00D732EE"/>
    <w:rsid w:val="00D74935"/>
    <w:rsid w:val="00D74CE8"/>
    <w:rsid w:val="00D76025"/>
    <w:rsid w:val="00D77DAE"/>
    <w:rsid w:val="00D82227"/>
    <w:rsid w:val="00D84616"/>
    <w:rsid w:val="00D86B0B"/>
    <w:rsid w:val="00D910BA"/>
    <w:rsid w:val="00D9165E"/>
    <w:rsid w:val="00D9390A"/>
    <w:rsid w:val="00D95540"/>
    <w:rsid w:val="00D95F4F"/>
    <w:rsid w:val="00D96855"/>
    <w:rsid w:val="00D96B3A"/>
    <w:rsid w:val="00D97632"/>
    <w:rsid w:val="00DA20A4"/>
    <w:rsid w:val="00DA24FC"/>
    <w:rsid w:val="00DA36DA"/>
    <w:rsid w:val="00DA46DD"/>
    <w:rsid w:val="00DA5269"/>
    <w:rsid w:val="00DA59DD"/>
    <w:rsid w:val="00DA5A03"/>
    <w:rsid w:val="00DA62A4"/>
    <w:rsid w:val="00DA6F1D"/>
    <w:rsid w:val="00DA7FDA"/>
    <w:rsid w:val="00DB6773"/>
    <w:rsid w:val="00DB69B7"/>
    <w:rsid w:val="00DC00F9"/>
    <w:rsid w:val="00DC2E30"/>
    <w:rsid w:val="00DC2F53"/>
    <w:rsid w:val="00DC4A78"/>
    <w:rsid w:val="00DC52A3"/>
    <w:rsid w:val="00DD0CD9"/>
    <w:rsid w:val="00DD2759"/>
    <w:rsid w:val="00DD2A9E"/>
    <w:rsid w:val="00DD411C"/>
    <w:rsid w:val="00DD52A7"/>
    <w:rsid w:val="00DD6405"/>
    <w:rsid w:val="00DD6677"/>
    <w:rsid w:val="00DE126B"/>
    <w:rsid w:val="00DE26B7"/>
    <w:rsid w:val="00DE27EB"/>
    <w:rsid w:val="00DE2AED"/>
    <w:rsid w:val="00DE3121"/>
    <w:rsid w:val="00DE51FA"/>
    <w:rsid w:val="00DE53F8"/>
    <w:rsid w:val="00DF1DB5"/>
    <w:rsid w:val="00DF2B79"/>
    <w:rsid w:val="00DF3143"/>
    <w:rsid w:val="00DF3CFB"/>
    <w:rsid w:val="00DF684F"/>
    <w:rsid w:val="00E0130D"/>
    <w:rsid w:val="00E01BAF"/>
    <w:rsid w:val="00E03651"/>
    <w:rsid w:val="00E05797"/>
    <w:rsid w:val="00E058E6"/>
    <w:rsid w:val="00E06343"/>
    <w:rsid w:val="00E07085"/>
    <w:rsid w:val="00E10C22"/>
    <w:rsid w:val="00E11F31"/>
    <w:rsid w:val="00E13066"/>
    <w:rsid w:val="00E14674"/>
    <w:rsid w:val="00E1502B"/>
    <w:rsid w:val="00E228A5"/>
    <w:rsid w:val="00E23D4B"/>
    <w:rsid w:val="00E23FF5"/>
    <w:rsid w:val="00E25264"/>
    <w:rsid w:val="00E254EC"/>
    <w:rsid w:val="00E324E2"/>
    <w:rsid w:val="00E335BB"/>
    <w:rsid w:val="00E3512A"/>
    <w:rsid w:val="00E35EA5"/>
    <w:rsid w:val="00E36E91"/>
    <w:rsid w:val="00E37E02"/>
    <w:rsid w:val="00E40757"/>
    <w:rsid w:val="00E42276"/>
    <w:rsid w:val="00E44EEC"/>
    <w:rsid w:val="00E459BE"/>
    <w:rsid w:val="00E46355"/>
    <w:rsid w:val="00E46660"/>
    <w:rsid w:val="00E46D0E"/>
    <w:rsid w:val="00E476FD"/>
    <w:rsid w:val="00E50615"/>
    <w:rsid w:val="00E50811"/>
    <w:rsid w:val="00E50C85"/>
    <w:rsid w:val="00E514FE"/>
    <w:rsid w:val="00E52403"/>
    <w:rsid w:val="00E53AD6"/>
    <w:rsid w:val="00E542A6"/>
    <w:rsid w:val="00E5592A"/>
    <w:rsid w:val="00E603D5"/>
    <w:rsid w:val="00E61782"/>
    <w:rsid w:val="00E62836"/>
    <w:rsid w:val="00E62AAF"/>
    <w:rsid w:val="00E635B9"/>
    <w:rsid w:val="00E644AD"/>
    <w:rsid w:val="00E67610"/>
    <w:rsid w:val="00E676C3"/>
    <w:rsid w:val="00E71AF3"/>
    <w:rsid w:val="00E72F6D"/>
    <w:rsid w:val="00E74081"/>
    <w:rsid w:val="00E7553B"/>
    <w:rsid w:val="00E77979"/>
    <w:rsid w:val="00E77BF5"/>
    <w:rsid w:val="00E826AE"/>
    <w:rsid w:val="00E83B9B"/>
    <w:rsid w:val="00E85611"/>
    <w:rsid w:val="00E90236"/>
    <w:rsid w:val="00E90D4F"/>
    <w:rsid w:val="00E95C31"/>
    <w:rsid w:val="00E978D9"/>
    <w:rsid w:val="00E97AE9"/>
    <w:rsid w:val="00EA0085"/>
    <w:rsid w:val="00EA105E"/>
    <w:rsid w:val="00EA159D"/>
    <w:rsid w:val="00EA1C07"/>
    <w:rsid w:val="00EA2E5A"/>
    <w:rsid w:val="00EA426C"/>
    <w:rsid w:val="00EA5C00"/>
    <w:rsid w:val="00EA6EE1"/>
    <w:rsid w:val="00EA7BF8"/>
    <w:rsid w:val="00EB0B87"/>
    <w:rsid w:val="00EB2AE2"/>
    <w:rsid w:val="00EB2D02"/>
    <w:rsid w:val="00EB46B1"/>
    <w:rsid w:val="00EB5711"/>
    <w:rsid w:val="00EB581D"/>
    <w:rsid w:val="00EB6601"/>
    <w:rsid w:val="00EB6D8E"/>
    <w:rsid w:val="00EB7F51"/>
    <w:rsid w:val="00EC0193"/>
    <w:rsid w:val="00EC0D28"/>
    <w:rsid w:val="00EC1C40"/>
    <w:rsid w:val="00EC25D5"/>
    <w:rsid w:val="00EC2706"/>
    <w:rsid w:val="00EC5D1E"/>
    <w:rsid w:val="00EC62C6"/>
    <w:rsid w:val="00EC6D32"/>
    <w:rsid w:val="00ED131A"/>
    <w:rsid w:val="00ED3D63"/>
    <w:rsid w:val="00ED4648"/>
    <w:rsid w:val="00ED4FA5"/>
    <w:rsid w:val="00EE32DD"/>
    <w:rsid w:val="00EE4088"/>
    <w:rsid w:val="00EE52B9"/>
    <w:rsid w:val="00EE7C3D"/>
    <w:rsid w:val="00EF286C"/>
    <w:rsid w:val="00EF40BB"/>
    <w:rsid w:val="00F042D6"/>
    <w:rsid w:val="00F0450E"/>
    <w:rsid w:val="00F10671"/>
    <w:rsid w:val="00F117C7"/>
    <w:rsid w:val="00F12567"/>
    <w:rsid w:val="00F1266C"/>
    <w:rsid w:val="00F15985"/>
    <w:rsid w:val="00F16369"/>
    <w:rsid w:val="00F17888"/>
    <w:rsid w:val="00F242BD"/>
    <w:rsid w:val="00F26B4B"/>
    <w:rsid w:val="00F27CBC"/>
    <w:rsid w:val="00F35226"/>
    <w:rsid w:val="00F37935"/>
    <w:rsid w:val="00F3798D"/>
    <w:rsid w:val="00F400E3"/>
    <w:rsid w:val="00F41D6A"/>
    <w:rsid w:val="00F430B4"/>
    <w:rsid w:val="00F45504"/>
    <w:rsid w:val="00F455B9"/>
    <w:rsid w:val="00F45C39"/>
    <w:rsid w:val="00F500C2"/>
    <w:rsid w:val="00F50F18"/>
    <w:rsid w:val="00F54AE2"/>
    <w:rsid w:val="00F559E2"/>
    <w:rsid w:val="00F55B6E"/>
    <w:rsid w:val="00F62510"/>
    <w:rsid w:val="00F661E7"/>
    <w:rsid w:val="00F70CC9"/>
    <w:rsid w:val="00F70CDC"/>
    <w:rsid w:val="00F71783"/>
    <w:rsid w:val="00F73342"/>
    <w:rsid w:val="00F74539"/>
    <w:rsid w:val="00F75311"/>
    <w:rsid w:val="00F8384B"/>
    <w:rsid w:val="00F84559"/>
    <w:rsid w:val="00F862E8"/>
    <w:rsid w:val="00F918E2"/>
    <w:rsid w:val="00F932EA"/>
    <w:rsid w:val="00F977F2"/>
    <w:rsid w:val="00F97D7C"/>
    <w:rsid w:val="00FA1766"/>
    <w:rsid w:val="00FA3701"/>
    <w:rsid w:val="00FA4312"/>
    <w:rsid w:val="00FB09EA"/>
    <w:rsid w:val="00FB371E"/>
    <w:rsid w:val="00FB458D"/>
    <w:rsid w:val="00FB6288"/>
    <w:rsid w:val="00FB67AB"/>
    <w:rsid w:val="00FC0EB8"/>
    <w:rsid w:val="00FC15E8"/>
    <w:rsid w:val="00FC22E9"/>
    <w:rsid w:val="00FC4771"/>
    <w:rsid w:val="00FC4798"/>
    <w:rsid w:val="00FC588D"/>
    <w:rsid w:val="00FC6916"/>
    <w:rsid w:val="00FC6D19"/>
    <w:rsid w:val="00FC72D1"/>
    <w:rsid w:val="00FD040C"/>
    <w:rsid w:val="00FD13E2"/>
    <w:rsid w:val="00FD1CC0"/>
    <w:rsid w:val="00FD37C3"/>
    <w:rsid w:val="00FD38FE"/>
    <w:rsid w:val="00FD7F56"/>
    <w:rsid w:val="00FE1812"/>
    <w:rsid w:val="00FE59ED"/>
    <w:rsid w:val="00FE6F37"/>
    <w:rsid w:val="00FE7C63"/>
    <w:rsid w:val="00FE7CCD"/>
    <w:rsid w:val="00FF13ED"/>
    <w:rsid w:val="00FF4DB8"/>
    <w:rsid w:val="00FF53FC"/>
    <w:rsid w:val="00FF7FA3"/>
    <w:rsid w:val="01165218"/>
    <w:rsid w:val="01940666"/>
    <w:rsid w:val="01990B54"/>
    <w:rsid w:val="01C51DC7"/>
    <w:rsid w:val="02602FE6"/>
    <w:rsid w:val="036826C0"/>
    <w:rsid w:val="037B29B0"/>
    <w:rsid w:val="04F5349C"/>
    <w:rsid w:val="05CE1B4A"/>
    <w:rsid w:val="063A2DBE"/>
    <w:rsid w:val="06A07035"/>
    <w:rsid w:val="075A3EA4"/>
    <w:rsid w:val="07FD05E2"/>
    <w:rsid w:val="08EF5738"/>
    <w:rsid w:val="095258DC"/>
    <w:rsid w:val="09C16C92"/>
    <w:rsid w:val="0A9A6AB6"/>
    <w:rsid w:val="0AD10DE3"/>
    <w:rsid w:val="0B1D7D91"/>
    <w:rsid w:val="0C50307C"/>
    <w:rsid w:val="0C6A3EC6"/>
    <w:rsid w:val="0C9B3BDD"/>
    <w:rsid w:val="0D3D4242"/>
    <w:rsid w:val="0DC02D0E"/>
    <w:rsid w:val="0DEE3E7A"/>
    <w:rsid w:val="0DFE468E"/>
    <w:rsid w:val="0F216CB2"/>
    <w:rsid w:val="0F486BBC"/>
    <w:rsid w:val="10130C0C"/>
    <w:rsid w:val="10A671A0"/>
    <w:rsid w:val="12987DDA"/>
    <w:rsid w:val="129E0B28"/>
    <w:rsid w:val="146846D0"/>
    <w:rsid w:val="148D4033"/>
    <w:rsid w:val="158F0911"/>
    <w:rsid w:val="16052710"/>
    <w:rsid w:val="16A6036F"/>
    <w:rsid w:val="16C36F15"/>
    <w:rsid w:val="178E5F80"/>
    <w:rsid w:val="18172AD5"/>
    <w:rsid w:val="18493803"/>
    <w:rsid w:val="18915EB5"/>
    <w:rsid w:val="1893220D"/>
    <w:rsid w:val="18B950AB"/>
    <w:rsid w:val="192907BF"/>
    <w:rsid w:val="195E57E1"/>
    <w:rsid w:val="19FC7FF8"/>
    <w:rsid w:val="1ACB5D41"/>
    <w:rsid w:val="1AEA6ACD"/>
    <w:rsid w:val="1CE210DB"/>
    <w:rsid w:val="1CFB0DE5"/>
    <w:rsid w:val="1E056435"/>
    <w:rsid w:val="1F554C54"/>
    <w:rsid w:val="20511AC7"/>
    <w:rsid w:val="20FD64BB"/>
    <w:rsid w:val="21F76F0B"/>
    <w:rsid w:val="22721EC5"/>
    <w:rsid w:val="23532925"/>
    <w:rsid w:val="254D7AA5"/>
    <w:rsid w:val="261D3E57"/>
    <w:rsid w:val="26CE7CC6"/>
    <w:rsid w:val="27D1593D"/>
    <w:rsid w:val="282852EF"/>
    <w:rsid w:val="289B62EA"/>
    <w:rsid w:val="28C90DA9"/>
    <w:rsid w:val="28CA7422"/>
    <w:rsid w:val="29224C59"/>
    <w:rsid w:val="29300D30"/>
    <w:rsid w:val="29950D58"/>
    <w:rsid w:val="2A9F668B"/>
    <w:rsid w:val="2B2B6C41"/>
    <w:rsid w:val="2B9541F9"/>
    <w:rsid w:val="2BE148ED"/>
    <w:rsid w:val="2C7022F2"/>
    <w:rsid w:val="2D545090"/>
    <w:rsid w:val="2D740954"/>
    <w:rsid w:val="2DAC3CDF"/>
    <w:rsid w:val="2DEC7208"/>
    <w:rsid w:val="2EC91C30"/>
    <w:rsid w:val="2F442CCA"/>
    <w:rsid w:val="2F666884"/>
    <w:rsid w:val="3001654E"/>
    <w:rsid w:val="30610DE3"/>
    <w:rsid w:val="30D365E9"/>
    <w:rsid w:val="30EB3CCE"/>
    <w:rsid w:val="331F26D9"/>
    <w:rsid w:val="33815A25"/>
    <w:rsid w:val="345B582A"/>
    <w:rsid w:val="35CB7FEE"/>
    <w:rsid w:val="35D50DD9"/>
    <w:rsid w:val="362570FF"/>
    <w:rsid w:val="36EE0AD4"/>
    <w:rsid w:val="36F14EE0"/>
    <w:rsid w:val="37F10707"/>
    <w:rsid w:val="389B4021"/>
    <w:rsid w:val="39284404"/>
    <w:rsid w:val="393344E0"/>
    <w:rsid w:val="3A061063"/>
    <w:rsid w:val="3AB6685E"/>
    <w:rsid w:val="3B435D4D"/>
    <w:rsid w:val="3C01740B"/>
    <w:rsid w:val="3E00445D"/>
    <w:rsid w:val="3E3E1F25"/>
    <w:rsid w:val="402D3F84"/>
    <w:rsid w:val="4131336F"/>
    <w:rsid w:val="422B1E14"/>
    <w:rsid w:val="429433BE"/>
    <w:rsid w:val="42E114B5"/>
    <w:rsid w:val="438E5C6E"/>
    <w:rsid w:val="43DE7465"/>
    <w:rsid w:val="43F81730"/>
    <w:rsid w:val="443D4774"/>
    <w:rsid w:val="447F3FD6"/>
    <w:rsid w:val="45297B86"/>
    <w:rsid w:val="455118CA"/>
    <w:rsid w:val="45DA7D8A"/>
    <w:rsid w:val="46F9413C"/>
    <w:rsid w:val="470575ED"/>
    <w:rsid w:val="47527423"/>
    <w:rsid w:val="475D09EE"/>
    <w:rsid w:val="48201C89"/>
    <w:rsid w:val="482067AD"/>
    <w:rsid w:val="48C03E20"/>
    <w:rsid w:val="49942EC3"/>
    <w:rsid w:val="4A890F6D"/>
    <w:rsid w:val="4B9C2137"/>
    <w:rsid w:val="4BD472F2"/>
    <w:rsid w:val="4CC93E05"/>
    <w:rsid w:val="50C45019"/>
    <w:rsid w:val="52AC04A3"/>
    <w:rsid w:val="533C4F22"/>
    <w:rsid w:val="536F5FBF"/>
    <w:rsid w:val="53863E22"/>
    <w:rsid w:val="539607E7"/>
    <w:rsid w:val="53BE0934"/>
    <w:rsid w:val="53F87911"/>
    <w:rsid w:val="5448643C"/>
    <w:rsid w:val="54780923"/>
    <w:rsid w:val="54A46A2E"/>
    <w:rsid w:val="55894EC7"/>
    <w:rsid w:val="55AC3FD8"/>
    <w:rsid w:val="562A35D5"/>
    <w:rsid w:val="56963F95"/>
    <w:rsid w:val="56985AE5"/>
    <w:rsid w:val="576344A6"/>
    <w:rsid w:val="58102A3A"/>
    <w:rsid w:val="58373CF4"/>
    <w:rsid w:val="58F73CF4"/>
    <w:rsid w:val="59125974"/>
    <w:rsid w:val="595E1C5D"/>
    <w:rsid w:val="5A6D33FD"/>
    <w:rsid w:val="5A8C1F03"/>
    <w:rsid w:val="5B3B62DE"/>
    <w:rsid w:val="5B8879BE"/>
    <w:rsid w:val="5BF94699"/>
    <w:rsid w:val="5C054BE7"/>
    <w:rsid w:val="5C34359A"/>
    <w:rsid w:val="5C515BD2"/>
    <w:rsid w:val="5D76196D"/>
    <w:rsid w:val="5DAF3614"/>
    <w:rsid w:val="5DDE75C3"/>
    <w:rsid w:val="5DF93D75"/>
    <w:rsid w:val="5E332DB2"/>
    <w:rsid w:val="5E841C00"/>
    <w:rsid w:val="5E9F73EF"/>
    <w:rsid w:val="5FAB18D7"/>
    <w:rsid w:val="5FF8030B"/>
    <w:rsid w:val="600B540E"/>
    <w:rsid w:val="60361231"/>
    <w:rsid w:val="60833D5B"/>
    <w:rsid w:val="60A004EF"/>
    <w:rsid w:val="60E67049"/>
    <w:rsid w:val="61BC3866"/>
    <w:rsid w:val="61F712BB"/>
    <w:rsid w:val="634570DA"/>
    <w:rsid w:val="637A2DCF"/>
    <w:rsid w:val="646B7408"/>
    <w:rsid w:val="64E04BA7"/>
    <w:rsid w:val="656A734B"/>
    <w:rsid w:val="66EA2D72"/>
    <w:rsid w:val="67B877C0"/>
    <w:rsid w:val="68077F85"/>
    <w:rsid w:val="68732F54"/>
    <w:rsid w:val="692236C7"/>
    <w:rsid w:val="699721F7"/>
    <w:rsid w:val="6A1E08AD"/>
    <w:rsid w:val="6A593785"/>
    <w:rsid w:val="6B0A6D27"/>
    <w:rsid w:val="6B542EF8"/>
    <w:rsid w:val="6B613BDE"/>
    <w:rsid w:val="6C380855"/>
    <w:rsid w:val="6D22083C"/>
    <w:rsid w:val="6D4053A1"/>
    <w:rsid w:val="6DC06146"/>
    <w:rsid w:val="6E007D04"/>
    <w:rsid w:val="6F5814CC"/>
    <w:rsid w:val="70961FF0"/>
    <w:rsid w:val="71C77F41"/>
    <w:rsid w:val="71E04400"/>
    <w:rsid w:val="72CE3D4A"/>
    <w:rsid w:val="72D252B4"/>
    <w:rsid w:val="72E660CD"/>
    <w:rsid w:val="738B5AF7"/>
    <w:rsid w:val="73D956CD"/>
    <w:rsid w:val="74CA1D64"/>
    <w:rsid w:val="7515707E"/>
    <w:rsid w:val="75770E6B"/>
    <w:rsid w:val="75A307F3"/>
    <w:rsid w:val="76054CC0"/>
    <w:rsid w:val="76CA019E"/>
    <w:rsid w:val="77210A0B"/>
    <w:rsid w:val="77ED23DF"/>
    <w:rsid w:val="780D276D"/>
    <w:rsid w:val="79D82E5C"/>
    <w:rsid w:val="79F9696F"/>
    <w:rsid w:val="7B895858"/>
    <w:rsid w:val="7C041764"/>
    <w:rsid w:val="7C664749"/>
    <w:rsid w:val="7D18378B"/>
    <w:rsid w:val="7D417AEE"/>
    <w:rsid w:val="7DA31969"/>
    <w:rsid w:val="7E227DBA"/>
    <w:rsid w:val="7F444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E30B9"/>
  <w15:docId w15:val="{BF49BDBB-A3FE-41B8-B069-085BF4E60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qFormat="1"/>
    <w:lsdException w:name="Default Paragraph Font" w:semiHidden="1" w:uiPriority="1" w:unhideWhenUsed="1"/>
    <w:lsdException w:name="Body Text" w:uiPriority="99" w:qFormat="1"/>
    <w:lsdException w:name="Subtitle" w:uiPriority="11" w:qFormat="1"/>
    <w:lsdException w:name="Body Text First Indent 2" w:uiPriority="99"/>
    <w:lsdException w:name="Body Text 2" w:uiPriority="99" w:unhideWhenUsed="1" w:qFormat="1"/>
    <w:lsdException w:name="Body Text Indent 2" w:unhideWhenUsed="1"/>
    <w:lsdException w:name="Hyperlink" w:uiPriority="99"/>
    <w:lsdException w:name="FollowedHyperlink" w:uiPriority="99"/>
    <w:lsdException w:name="Strong" w:uiPriority="22" w:qFormat="1"/>
    <w:lsdException w:name="Emphasis" w:qFormat="1"/>
    <w:lsdException w:name="Document Map" w:uiPriority="99"/>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1"/>
    <w:qFormat/>
    <w:pPr>
      <w:widowControl w:val="0"/>
      <w:jc w:val="both"/>
    </w:pPr>
    <w:rPr>
      <w:kern w:val="2"/>
      <w:sz w:val="21"/>
      <w:szCs w:val="24"/>
    </w:rPr>
  </w:style>
  <w:style w:type="paragraph" w:styleId="10">
    <w:name w:val="heading 1"/>
    <w:basedOn w:val="a0"/>
    <w:next w:val="a0"/>
    <w:link w:val="13"/>
    <w:uiPriority w:val="9"/>
    <w:qFormat/>
    <w:pPr>
      <w:keepNext/>
      <w:keepLines/>
      <w:numPr>
        <w:numId w:val="1"/>
      </w:numPr>
      <w:spacing w:before="340" w:after="330" w:line="400" w:lineRule="exact"/>
      <w:outlineLvl w:val="0"/>
    </w:pPr>
    <w:rPr>
      <w:rFonts w:eastAsia="Courier New"/>
      <w:b/>
      <w:bCs/>
      <w:kern w:val="44"/>
      <w:sz w:val="36"/>
      <w:szCs w:val="44"/>
    </w:rPr>
  </w:style>
  <w:style w:type="paragraph" w:styleId="2">
    <w:name w:val="heading 2"/>
    <w:basedOn w:val="a0"/>
    <w:next w:val="a2"/>
    <w:link w:val="23"/>
    <w:uiPriority w:val="9"/>
    <w:qFormat/>
    <w:pPr>
      <w:keepNext/>
      <w:keepLines/>
      <w:numPr>
        <w:ilvl w:val="1"/>
        <w:numId w:val="1"/>
      </w:numPr>
      <w:spacing w:before="260" w:after="260" w:line="360" w:lineRule="auto"/>
      <w:outlineLvl w:val="1"/>
    </w:pPr>
    <w:rPr>
      <w:rFonts w:cs="微软雅黑"/>
      <w:b/>
      <w:bCs/>
      <w:color w:val="000000"/>
      <w:sz w:val="30"/>
      <w:szCs w:val="32"/>
    </w:rPr>
  </w:style>
  <w:style w:type="paragraph" w:styleId="3">
    <w:name w:val="heading 3"/>
    <w:basedOn w:val="a0"/>
    <w:next w:val="a0"/>
    <w:link w:val="33"/>
    <w:qFormat/>
    <w:pPr>
      <w:keepNext/>
      <w:keepLines/>
      <w:numPr>
        <w:ilvl w:val="2"/>
        <w:numId w:val="1"/>
      </w:numPr>
      <w:spacing w:before="260" w:after="260" w:line="415" w:lineRule="auto"/>
      <w:outlineLvl w:val="2"/>
    </w:pPr>
    <w:rPr>
      <w:rFonts w:ascii="Calibri Light" w:hAnsi="Courier New"/>
      <w:bCs/>
      <w:sz w:val="28"/>
      <w:szCs w:val="28"/>
    </w:rPr>
  </w:style>
  <w:style w:type="paragraph" w:styleId="4">
    <w:name w:val="heading 4"/>
    <w:basedOn w:val="a0"/>
    <w:next w:val="a0"/>
    <w:link w:val="43"/>
    <w:qFormat/>
    <w:pPr>
      <w:keepNext/>
      <w:keepLines/>
      <w:numPr>
        <w:ilvl w:val="3"/>
        <w:numId w:val="1"/>
      </w:numPr>
      <w:spacing w:before="260" w:after="260"/>
      <w:outlineLvl w:val="3"/>
    </w:pPr>
    <w:rPr>
      <w:rFonts w:ascii="等线 Light" w:hAnsi="等线 Light"/>
      <w:bCs/>
      <w:sz w:val="28"/>
      <w:szCs w:val="28"/>
    </w:rPr>
  </w:style>
  <w:style w:type="paragraph" w:styleId="5">
    <w:name w:val="heading 5"/>
    <w:basedOn w:val="a0"/>
    <w:next w:val="a0"/>
    <w:link w:val="51"/>
    <w:qFormat/>
    <w:pPr>
      <w:keepNext/>
      <w:keepLines/>
      <w:numPr>
        <w:ilvl w:val="4"/>
        <w:numId w:val="1"/>
      </w:numPr>
      <w:spacing w:before="280" w:after="290" w:line="372" w:lineRule="auto"/>
      <w:outlineLvl w:val="4"/>
    </w:pPr>
    <w:rPr>
      <w:b/>
      <w:bCs/>
      <w:sz w:val="28"/>
      <w:szCs w:val="28"/>
    </w:rPr>
  </w:style>
  <w:style w:type="paragraph" w:styleId="60">
    <w:name w:val="heading 6"/>
    <w:basedOn w:val="a0"/>
    <w:next w:val="a0"/>
    <w:link w:val="61"/>
    <w:qFormat/>
    <w:pPr>
      <w:keepNext/>
      <w:keepLines/>
      <w:widowControl/>
      <w:tabs>
        <w:tab w:val="left" w:pos="1440"/>
      </w:tabs>
      <w:spacing w:before="240" w:after="64" w:line="319" w:lineRule="auto"/>
      <w:ind w:left="1152" w:hanging="1152"/>
      <w:jc w:val="left"/>
      <w:outlineLvl w:val="5"/>
    </w:pPr>
    <w:rPr>
      <w:rFonts w:ascii="等线 Light" w:eastAsia="Calibri Light" w:hAnsi="等线 Light"/>
      <w:b/>
      <w:bCs/>
      <w:kern w:val="0"/>
      <w:sz w:val="24"/>
    </w:rPr>
  </w:style>
  <w:style w:type="paragraph" w:styleId="70">
    <w:name w:val="heading 7"/>
    <w:basedOn w:val="a0"/>
    <w:next w:val="a0"/>
    <w:link w:val="71"/>
    <w:qFormat/>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0"/>
    <w:next w:val="a0"/>
    <w:link w:val="81"/>
    <w:qFormat/>
    <w:pPr>
      <w:keepNext/>
      <w:keepLines/>
      <w:widowControl/>
      <w:tabs>
        <w:tab w:val="left" w:pos="1440"/>
      </w:tabs>
      <w:spacing w:before="240" w:after="64" w:line="319" w:lineRule="auto"/>
      <w:ind w:left="1440" w:hanging="1440"/>
      <w:jc w:val="left"/>
      <w:outlineLvl w:val="7"/>
    </w:pPr>
    <w:rPr>
      <w:rFonts w:ascii="等线 Light" w:eastAsia="Calibri Light" w:hAnsi="等线 Light"/>
      <w:kern w:val="0"/>
      <w:sz w:val="24"/>
    </w:rPr>
  </w:style>
  <w:style w:type="paragraph" w:styleId="9">
    <w:name w:val="heading 9"/>
    <w:basedOn w:val="a0"/>
    <w:next w:val="a0"/>
    <w:link w:val="91"/>
    <w:qFormat/>
    <w:pPr>
      <w:keepNext/>
      <w:keepLines/>
      <w:widowControl/>
      <w:tabs>
        <w:tab w:val="left" w:pos="1584"/>
      </w:tabs>
      <w:spacing w:before="240" w:after="64" w:line="319" w:lineRule="auto"/>
      <w:ind w:left="1584" w:hanging="1584"/>
      <w:jc w:val="left"/>
      <w:outlineLvl w:val="8"/>
    </w:pPr>
    <w:rPr>
      <w:rFonts w:ascii="等线 Light" w:eastAsia="Calibri Light" w:hAnsi="等线 Light"/>
      <w:kern w:val="0"/>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32"/>
    <w:uiPriority w:val="99"/>
    <w:qFormat/>
    <w:pPr>
      <w:spacing w:after="120"/>
    </w:pPr>
    <w:rPr>
      <w:rFonts w:eastAsia="Courier New"/>
    </w:rPr>
  </w:style>
  <w:style w:type="paragraph" w:customStyle="1" w:styleId="a2">
    <w:name w:val="文档正文"/>
    <w:basedOn w:val="a0"/>
    <w:link w:val="Char1"/>
    <w:pPr>
      <w:tabs>
        <w:tab w:val="left" w:pos="5460"/>
        <w:tab w:val="left" w:pos="8770"/>
      </w:tabs>
      <w:spacing w:line="360" w:lineRule="auto"/>
      <w:ind w:rightChars="100" w:right="210" w:firstLineChars="150" w:firstLine="420"/>
    </w:pPr>
    <w:rPr>
      <w:rFonts w:ascii="Courier New" w:hAnsi="Courier New"/>
      <w:kern w:val="0"/>
      <w:sz w:val="28"/>
      <w:szCs w:val="28"/>
    </w:rPr>
  </w:style>
  <w:style w:type="paragraph" w:styleId="a6">
    <w:name w:val="Normal Indent"/>
    <w:basedOn w:val="a0"/>
    <w:link w:val="a7"/>
    <w:pPr>
      <w:ind w:firstLineChars="200" w:firstLine="420"/>
    </w:pPr>
  </w:style>
  <w:style w:type="paragraph" w:styleId="a8">
    <w:name w:val="Document Map"/>
    <w:basedOn w:val="a0"/>
    <w:link w:val="41"/>
    <w:uiPriority w:val="99"/>
    <w:pPr>
      <w:shd w:val="clear" w:color="auto" w:fill="000080"/>
    </w:pPr>
    <w:rPr>
      <w:rFonts w:eastAsia="Courier New"/>
    </w:rPr>
  </w:style>
  <w:style w:type="paragraph" w:styleId="a9">
    <w:name w:val="annotation text"/>
    <w:basedOn w:val="a0"/>
    <w:link w:val="42"/>
    <w:uiPriority w:val="99"/>
    <w:qFormat/>
    <w:pPr>
      <w:jc w:val="left"/>
    </w:pPr>
    <w:rPr>
      <w:rFonts w:eastAsia="Courier New"/>
    </w:rPr>
  </w:style>
  <w:style w:type="paragraph" w:styleId="34">
    <w:name w:val="Body Text 3"/>
    <w:basedOn w:val="a0"/>
    <w:link w:val="310"/>
    <w:rPr>
      <w:rFonts w:ascii="Courier New"/>
      <w:sz w:val="24"/>
      <w:szCs w:val="20"/>
    </w:rPr>
  </w:style>
  <w:style w:type="paragraph" w:styleId="aa">
    <w:name w:val="Body Text Indent"/>
    <w:basedOn w:val="a0"/>
    <w:link w:val="ab"/>
    <w:pPr>
      <w:spacing w:after="120"/>
      <w:ind w:leftChars="200" w:left="420"/>
    </w:pPr>
  </w:style>
  <w:style w:type="paragraph" w:styleId="ac">
    <w:name w:val="Plain Text"/>
    <w:basedOn w:val="a0"/>
    <w:link w:val="11"/>
    <w:rPr>
      <w:rFonts w:ascii="Courier New" w:hAnsi="Times"/>
      <w:kern w:val="0"/>
      <w:sz w:val="20"/>
      <w:szCs w:val="21"/>
    </w:rPr>
  </w:style>
  <w:style w:type="paragraph" w:styleId="ad">
    <w:name w:val="Date"/>
    <w:basedOn w:val="a0"/>
    <w:next w:val="a0"/>
    <w:link w:val="12"/>
    <w:rPr>
      <w:sz w:val="24"/>
      <w:szCs w:val="20"/>
    </w:rPr>
  </w:style>
  <w:style w:type="paragraph" w:styleId="22">
    <w:name w:val="Body Text Indent 2"/>
    <w:basedOn w:val="a0"/>
    <w:link w:val="210"/>
    <w:unhideWhenUsed/>
    <w:pPr>
      <w:spacing w:after="120" w:line="480" w:lineRule="auto"/>
      <w:ind w:leftChars="200" w:left="420"/>
    </w:pPr>
    <w:rPr>
      <w:kern w:val="0"/>
      <w:sz w:val="20"/>
    </w:rPr>
  </w:style>
  <w:style w:type="paragraph" w:styleId="ae">
    <w:name w:val="Balloon Text"/>
    <w:basedOn w:val="a0"/>
    <w:link w:val="14"/>
    <w:rPr>
      <w:sz w:val="18"/>
      <w:szCs w:val="18"/>
    </w:rPr>
  </w:style>
  <w:style w:type="paragraph" w:styleId="af">
    <w:name w:val="footer"/>
    <w:basedOn w:val="a0"/>
    <w:link w:val="24"/>
    <w:uiPriority w:val="99"/>
    <w:pPr>
      <w:tabs>
        <w:tab w:val="center" w:pos="4153"/>
        <w:tab w:val="right" w:pos="8306"/>
      </w:tabs>
      <w:snapToGrid w:val="0"/>
      <w:jc w:val="left"/>
    </w:pPr>
    <w:rPr>
      <w:rFonts w:eastAsia="Courier New"/>
      <w:sz w:val="18"/>
      <w:szCs w:val="18"/>
    </w:rPr>
  </w:style>
  <w:style w:type="paragraph" w:styleId="af0">
    <w:name w:val="header"/>
    <w:basedOn w:val="a0"/>
    <w:link w:val="25"/>
    <w:uiPriority w:val="99"/>
    <w:pPr>
      <w:pBdr>
        <w:bottom w:val="single" w:sz="6" w:space="1" w:color="auto"/>
      </w:pBdr>
      <w:tabs>
        <w:tab w:val="center" w:pos="4153"/>
        <w:tab w:val="right" w:pos="8306"/>
      </w:tabs>
      <w:snapToGrid w:val="0"/>
      <w:jc w:val="center"/>
    </w:pPr>
    <w:rPr>
      <w:rFonts w:eastAsia="Courier New"/>
      <w:sz w:val="18"/>
      <w:szCs w:val="18"/>
    </w:rPr>
  </w:style>
  <w:style w:type="paragraph" w:styleId="af1">
    <w:name w:val="Subtitle"/>
    <w:basedOn w:val="a0"/>
    <w:next w:val="a0"/>
    <w:link w:val="af2"/>
    <w:uiPriority w:val="11"/>
    <w:qFormat/>
    <w:pPr>
      <w:spacing w:before="240" w:after="60" w:line="312" w:lineRule="auto"/>
      <w:jc w:val="center"/>
      <w:outlineLvl w:val="1"/>
    </w:pPr>
    <w:rPr>
      <w:rFonts w:ascii="Cambria" w:hAnsi="Cambria"/>
      <w:b/>
      <w:bCs/>
      <w:kern w:val="28"/>
      <w:sz w:val="32"/>
      <w:szCs w:val="32"/>
    </w:rPr>
  </w:style>
  <w:style w:type="paragraph" w:styleId="35">
    <w:name w:val="Body Text Indent 3"/>
    <w:basedOn w:val="a0"/>
    <w:link w:val="311"/>
    <w:pPr>
      <w:spacing w:after="120"/>
      <w:ind w:leftChars="200" w:left="420"/>
    </w:pPr>
    <w:rPr>
      <w:sz w:val="16"/>
      <w:szCs w:val="16"/>
    </w:rPr>
  </w:style>
  <w:style w:type="paragraph" w:styleId="26">
    <w:name w:val="Body Text 2"/>
    <w:basedOn w:val="a0"/>
    <w:link w:val="211"/>
    <w:uiPriority w:val="99"/>
    <w:unhideWhenUsed/>
    <w:qFormat/>
    <w:pPr>
      <w:widowControl/>
      <w:wordWrap w:val="0"/>
      <w:topLinePunct/>
      <w:adjustRightInd w:val="0"/>
      <w:snapToGrid w:val="0"/>
      <w:spacing w:afterLines="50" w:after="120" w:line="480" w:lineRule="auto"/>
      <w:ind w:firstLineChars="200" w:firstLine="480"/>
    </w:pPr>
    <w:rPr>
      <w:rFonts w:ascii="Courier New" w:hAnsi="Courier New"/>
      <w:kern w:val="0"/>
      <w:sz w:val="24"/>
      <w:szCs w:val="20"/>
    </w:rPr>
  </w:style>
  <w:style w:type="paragraph" w:styleId="HTML">
    <w:name w:val="HTML Preformatted"/>
    <w:basedOn w:val="a0"/>
    <w:link w:val="HTML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4"/>
    </w:rPr>
  </w:style>
  <w:style w:type="paragraph" w:styleId="af3">
    <w:name w:val="Normal (Web)"/>
    <w:basedOn w:val="a0"/>
    <w:uiPriority w:val="99"/>
    <w:qFormat/>
    <w:pPr>
      <w:widowControl/>
      <w:spacing w:before="100" w:beforeAutospacing="1" w:after="100" w:afterAutospacing="1"/>
      <w:jc w:val="left"/>
    </w:pPr>
    <w:rPr>
      <w:kern w:val="0"/>
      <w:sz w:val="24"/>
    </w:rPr>
  </w:style>
  <w:style w:type="paragraph" w:styleId="15">
    <w:name w:val="index 1"/>
    <w:basedOn w:val="a0"/>
    <w:next w:val="a0"/>
    <w:pPr>
      <w:spacing w:line="220" w:lineRule="exact"/>
      <w:jc w:val="center"/>
    </w:pPr>
    <w:rPr>
      <w:rFonts w:ascii="Microsoft YaHei UI" w:eastAsia="Microsoft YaHei UI"/>
      <w:szCs w:val="21"/>
    </w:rPr>
  </w:style>
  <w:style w:type="paragraph" w:styleId="af4">
    <w:name w:val="Title"/>
    <w:basedOn w:val="a0"/>
    <w:link w:val="16"/>
    <w:qFormat/>
    <w:pPr>
      <w:adjustRightInd w:val="0"/>
      <w:spacing w:before="240" w:after="60" w:line="420" w:lineRule="atLeast"/>
      <w:jc w:val="center"/>
      <w:textAlignment w:val="baseline"/>
      <w:outlineLvl w:val="0"/>
    </w:pPr>
    <w:rPr>
      <w:rFonts w:ascii="等线 Light" w:hAnsi="等线 Light"/>
      <w:b/>
      <w:kern w:val="0"/>
      <w:sz w:val="32"/>
      <w:szCs w:val="20"/>
    </w:rPr>
  </w:style>
  <w:style w:type="paragraph" w:styleId="af5">
    <w:name w:val="annotation subject"/>
    <w:basedOn w:val="a9"/>
    <w:next w:val="a9"/>
    <w:link w:val="44"/>
    <w:uiPriority w:val="99"/>
    <w:pPr>
      <w:jc w:val="both"/>
    </w:pPr>
    <w:rPr>
      <w:b/>
      <w:bCs/>
    </w:rPr>
  </w:style>
  <w:style w:type="table" w:styleId="af6">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style>
  <w:style w:type="character" w:styleId="af9">
    <w:name w:val="FollowedHyperlink"/>
    <w:uiPriority w:val="99"/>
    <w:rPr>
      <w:color w:val="800080"/>
      <w:u w:val="single"/>
    </w:rPr>
  </w:style>
  <w:style w:type="character" w:styleId="afa">
    <w:name w:val="Emphasis"/>
    <w:qFormat/>
    <w:rPr>
      <w:i/>
    </w:rPr>
  </w:style>
  <w:style w:type="character" w:styleId="afb">
    <w:name w:val="Hyperlink"/>
    <w:uiPriority w:val="99"/>
    <w:rPr>
      <w:color w:val="0000FF"/>
      <w:u w:val="single"/>
    </w:rPr>
  </w:style>
  <w:style w:type="character" w:styleId="afc">
    <w:name w:val="annotation reference"/>
    <w:uiPriority w:val="99"/>
    <w:qFormat/>
    <w:rPr>
      <w:sz w:val="21"/>
      <w:szCs w:val="21"/>
    </w:rPr>
  </w:style>
  <w:style w:type="character" w:styleId="afd">
    <w:name w:val="footnote reference"/>
    <w:rPr>
      <w:vertAlign w:val="superscript"/>
    </w:rPr>
  </w:style>
  <w:style w:type="character" w:customStyle="1" w:styleId="search-in-page-highlight-item">
    <w:name w:val="search-in-page-highlight-item"/>
  </w:style>
  <w:style w:type="character" w:customStyle="1" w:styleId="27">
    <w:name w:val="正文文本首行缩进 2 字符"/>
    <w:uiPriority w:val="99"/>
    <w:rPr>
      <w:kern w:val="2"/>
      <w:sz w:val="21"/>
      <w:szCs w:val="24"/>
    </w:rPr>
  </w:style>
  <w:style w:type="character" w:customStyle="1" w:styleId="MSGENFONTSTYLENAMETEMPLATEROLENUMBERMSGENFONTSTYLENAMEBYROLETEXT23">
    <w:name w:val="MSG_EN_FONT_STYLE_NAME_TEMPLATE_ROLE_NUMBER MSG_EN_FONT_STYLE_NAME_BY_ROLE_TEXT 23_"/>
    <w:link w:val="MSGENFONTSTYLENAMETEMPLATEROLENUMBERMSGENFONTSTYLENAMEBYROLETEXT230"/>
    <w:qFormat/>
    <w:rPr>
      <w:rFonts w:ascii="Calibri" w:eastAsia="宋体" w:hAnsi="Calibri" w:cs="Times New Roman"/>
      <w:sz w:val="16"/>
      <w:szCs w:val="16"/>
      <w:shd w:val="clear" w:color="auto" w:fill="FFFFFF"/>
    </w:rPr>
  </w:style>
  <w:style w:type="paragraph" w:customStyle="1" w:styleId="MSGENFONTSTYLENAMETEMPLATEROLENUMBERMSGENFONTSTYLENAMEBYROLETEXT230">
    <w:name w:val="MSG_EN_FONT_STYLE_NAME_TEMPLATE_ROLE_NUMBER MSG_EN_FONT_STYLE_NAME_BY_ROLE_TEXT 23"/>
    <w:basedOn w:val="a0"/>
    <w:link w:val="MSGENFONTSTYLENAMETEMPLATEROLENUMBERMSGENFONTSTYLENAMEBYROLETEXT23"/>
    <w:pPr>
      <w:shd w:val="clear" w:color="auto" w:fill="FFFFFF"/>
      <w:spacing w:line="0" w:lineRule="atLeast"/>
      <w:jc w:val="center"/>
    </w:pPr>
    <w:rPr>
      <w:rFonts w:ascii="Calibri" w:hAnsi="Calibri"/>
      <w:kern w:val="0"/>
      <w:sz w:val="16"/>
      <w:szCs w:val="16"/>
    </w:rPr>
  </w:style>
  <w:style w:type="character" w:customStyle="1" w:styleId="28">
    <w:name w:val="批注框文本 字符2"/>
    <w:uiPriority w:val="99"/>
    <w:semiHidden/>
    <w:rPr>
      <w:rFonts w:ascii="Verdana" w:eastAsia="Courier New" w:hAnsi="Verdana" w:cs="Verdana"/>
      <w:sz w:val="18"/>
      <w:szCs w:val="18"/>
    </w:rPr>
  </w:style>
  <w:style w:type="character" w:customStyle="1" w:styleId="afe">
    <w:name w:val="页脚 字符"/>
    <w:uiPriority w:val="99"/>
    <w:rPr>
      <w:sz w:val="18"/>
      <w:szCs w:val="18"/>
    </w:rPr>
  </w:style>
  <w:style w:type="character" w:customStyle="1" w:styleId="Char">
    <w:name w:val="日期 Char"/>
    <w:uiPriority w:val="99"/>
  </w:style>
  <w:style w:type="character" w:customStyle="1" w:styleId="17">
    <w:name w:val="正文文本缩进 字符1"/>
    <w:qFormat/>
    <w:rPr>
      <w:szCs w:val="24"/>
    </w:rPr>
  </w:style>
  <w:style w:type="character" w:customStyle="1" w:styleId="Char1">
    <w:name w:val="文档正文 Char1"/>
    <w:link w:val="a2"/>
    <w:qFormat/>
    <w:rPr>
      <w:rFonts w:ascii="Courier New" w:hAnsi="Courier New"/>
      <w:sz w:val="28"/>
      <w:szCs w:val="28"/>
    </w:rPr>
  </w:style>
  <w:style w:type="character" w:customStyle="1" w:styleId="29">
    <w:name w:val="正文文本 字符2"/>
    <w:uiPriority w:val="99"/>
    <w:semiHidden/>
    <w:rPr>
      <w:rFonts w:ascii="Verdana" w:eastAsia="Courier New" w:hAnsi="Verdana" w:cs="Verdana"/>
      <w:szCs w:val="24"/>
    </w:rPr>
  </w:style>
  <w:style w:type="character" w:customStyle="1" w:styleId="80">
    <w:name w:val="标题 8 字符"/>
    <w:rPr>
      <w:rFonts w:ascii="@PMingLiU" w:eastAsia="@PMingLiU" w:hAnsi="@PMingLiU" w:cs="Verdana"/>
      <w:sz w:val="24"/>
      <w:szCs w:val="24"/>
    </w:rPr>
  </w:style>
  <w:style w:type="character" w:customStyle="1" w:styleId="1Char">
    <w:name w:val="标题 1 Char"/>
    <w:uiPriority w:val="9"/>
    <w:rPr>
      <w:rFonts w:eastAsia="宋体"/>
      <w:b/>
      <w:bCs/>
      <w:kern w:val="44"/>
      <w:sz w:val="44"/>
      <w:szCs w:val="44"/>
      <w:lang w:val="en-US" w:eastAsia="zh-CN" w:bidi="ar-SA"/>
    </w:rPr>
  </w:style>
  <w:style w:type="character" w:customStyle="1" w:styleId="220">
    <w:name w:val="标题 2 字符2"/>
    <w:rPr>
      <w:rFonts w:ascii="等线 Light" w:eastAsia="Calibri Light" w:hAnsi="等线 Light" w:cs="Verdana"/>
      <w:b/>
      <w:bCs/>
      <w:sz w:val="32"/>
      <w:szCs w:val="32"/>
    </w:rPr>
  </w:style>
  <w:style w:type="character" w:customStyle="1" w:styleId="af2">
    <w:name w:val="副标题 字符"/>
    <w:link w:val="af1"/>
    <w:uiPriority w:val="11"/>
    <w:qFormat/>
    <w:rPr>
      <w:rFonts w:ascii="Cambria" w:hAnsi="Cambria"/>
      <w:b/>
      <w:bCs/>
      <w:kern w:val="28"/>
      <w:sz w:val="32"/>
      <w:szCs w:val="32"/>
    </w:rPr>
  </w:style>
  <w:style w:type="character" w:customStyle="1" w:styleId="8Char">
    <w:name w:val="标题 8 Char"/>
    <w:rPr>
      <w:rFonts w:ascii="华文细黑" w:hAnsi="华文细黑"/>
      <w:sz w:val="22"/>
      <w:lang w:val="en-GB"/>
    </w:rPr>
  </w:style>
  <w:style w:type="character" w:customStyle="1" w:styleId="18">
    <w:name w:val="页脚 字符1"/>
    <w:uiPriority w:val="99"/>
    <w:rPr>
      <w:rFonts w:eastAsia="Courier New"/>
      <w:kern w:val="2"/>
      <w:sz w:val="18"/>
      <w:szCs w:val="18"/>
      <w:lang w:val="en-US" w:eastAsia="zh-CN" w:bidi="ar-SA"/>
    </w:rPr>
  </w:style>
  <w:style w:type="character" w:customStyle="1" w:styleId="51">
    <w:name w:val="标题 5 字符1"/>
    <w:link w:val="5"/>
    <w:rPr>
      <w:b/>
      <w:bCs/>
      <w:kern w:val="2"/>
      <w:sz w:val="28"/>
      <w:szCs w:val="28"/>
    </w:rPr>
  </w:style>
  <w:style w:type="character" w:customStyle="1" w:styleId="Char0">
    <w:name w:val="正文缩进 Char"/>
    <w:locked/>
    <w:rPr>
      <w:kern w:val="2"/>
      <w:sz w:val="21"/>
      <w:szCs w:val="24"/>
    </w:rPr>
  </w:style>
  <w:style w:type="character" w:customStyle="1" w:styleId="2a">
    <w:name w:val="批注文字 字符2"/>
    <w:rPr>
      <w:rFonts w:eastAsia="Courier New"/>
      <w:kern w:val="2"/>
      <w:sz w:val="21"/>
      <w:szCs w:val="24"/>
      <w:lang w:val="en-US" w:eastAsia="zh-CN" w:bidi="ar-SA"/>
    </w:rPr>
  </w:style>
  <w:style w:type="character" w:customStyle="1" w:styleId="bord3">
    <w:name w:val="bord3"/>
  </w:style>
  <w:style w:type="character" w:customStyle="1" w:styleId="Char2">
    <w:name w:val="页眉 Char"/>
    <w:uiPriority w:val="99"/>
    <w:rPr>
      <w:rFonts w:eastAsia="宋体"/>
      <w:kern w:val="2"/>
      <w:sz w:val="18"/>
      <w:szCs w:val="18"/>
      <w:lang w:val="en-US" w:eastAsia="zh-CN" w:bidi="ar-SA"/>
    </w:rPr>
  </w:style>
  <w:style w:type="character" w:customStyle="1" w:styleId="2b">
    <w:name w:val="文档结构图 字符2"/>
    <w:rPr>
      <w:rFonts w:eastAsia="Courier New"/>
      <w:szCs w:val="24"/>
      <w:shd w:val="clear" w:color="auto" w:fill="000080"/>
    </w:rPr>
  </w:style>
  <w:style w:type="character" w:customStyle="1" w:styleId="11">
    <w:name w:val="纯文本 字符1"/>
    <w:link w:val="ac"/>
    <w:qFormat/>
    <w:rPr>
      <w:rFonts w:ascii="Courier New" w:hAnsi="Times" w:cs="Times"/>
      <w:szCs w:val="21"/>
    </w:rPr>
  </w:style>
  <w:style w:type="character" w:customStyle="1" w:styleId="Char10">
    <w:name w:val="副标题 Char1"/>
    <w:uiPriority w:val="11"/>
    <w:rPr>
      <w:rFonts w:ascii="Calibri Light" w:hAnsi="Calibri Light"/>
      <w:b/>
      <w:bCs/>
      <w:kern w:val="28"/>
      <w:sz w:val="32"/>
      <w:szCs w:val="32"/>
    </w:rPr>
  </w:style>
  <w:style w:type="character" w:customStyle="1" w:styleId="Char11">
    <w:name w:val="正文首行缩进 Char1"/>
  </w:style>
  <w:style w:type="character" w:customStyle="1" w:styleId="42">
    <w:name w:val="批注文字 字符4"/>
    <w:link w:val="a9"/>
    <w:uiPriority w:val="99"/>
    <w:qFormat/>
    <w:rPr>
      <w:rFonts w:eastAsia="Courier New"/>
      <w:kern w:val="2"/>
      <w:sz w:val="21"/>
      <w:szCs w:val="24"/>
      <w:lang w:val="en-US" w:eastAsia="zh-CN" w:bidi="ar-SA"/>
    </w:rPr>
  </w:style>
  <w:style w:type="character" w:customStyle="1" w:styleId="221">
    <w:name w:val="正文文本缩进 2 字符2"/>
    <w:uiPriority w:val="99"/>
    <w:rPr>
      <w:kern w:val="2"/>
      <w:sz w:val="21"/>
      <w:szCs w:val="24"/>
    </w:rPr>
  </w:style>
  <w:style w:type="character" w:customStyle="1" w:styleId="19">
    <w:name w:val="标题 1 字符"/>
    <w:rPr>
      <w:rFonts w:ascii="Verdana" w:eastAsia="Courier New" w:hAnsi="Verdana" w:cs="Verdana"/>
      <w:b/>
      <w:bCs/>
      <w:kern w:val="44"/>
      <w:sz w:val="44"/>
      <w:szCs w:val="44"/>
    </w:rPr>
  </w:style>
  <w:style w:type="character" w:customStyle="1" w:styleId="1a">
    <w:name w:val="未处理的提及1"/>
    <w:uiPriority w:val="99"/>
    <w:unhideWhenUsed/>
    <w:rPr>
      <w:color w:val="605E5C"/>
      <w:shd w:val="clear" w:color="auto" w:fill="E1DFDD"/>
    </w:rPr>
  </w:style>
  <w:style w:type="character" w:customStyle="1" w:styleId="212">
    <w:name w:val="标题 2 字符1"/>
    <w:rPr>
      <w:rFonts w:ascii="等线 Light" w:eastAsia="Calibri Light" w:hAnsi="等线 Light"/>
      <w:b/>
      <w:bCs/>
      <w:kern w:val="2"/>
      <w:sz w:val="32"/>
      <w:szCs w:val="32"/>
    </w:rPr>
  </w:style>
  <w:style w:type="character" w:customStyle="1" w:styleId="36">
    <w:name w:val="文档结构图 字符3"/>
    <w:uiPriority w:val="99"/>
    <w:semiHidden/>
    <w:rPr>
      <w:rFonts w:ascii="Calibri Light" w:eastAsia="Calibri Light" w:hAnsi="Verdana" w:cs="Verdana"/>
      <w:sz w:val="18"/>
      <w:szCs w:val="18"/>
    </w:rPr>
  </w:style>
  <w:style w:type="character" w:customStyle="1" w:styleId="420">
    <w:name w:val="标题 4 字符2"/>
    <w:uiPriority w:val="9"/>
    <w:rPr>
      <w:rFonts w:ascii="等线 Light" w:eastAsia="Calibri Light" w:hAnsi="等线 Light" w:cs="Verdana"/>
      <w:b/>
      <w:bCs/>
      <w:sz w:val="28"/>
      <w:szCs w:val="28"/>
    </w:rPr>
  </w:style>
  <w:style w:type="character" w:customStyle="1" w:styleId="37">
    <w:name w:val="未处理的提及3"/>
    <w:uiPriority w:val="99"/>
    <w:unhideWhenUsed/>
    <w:rPr>
      <w:color w:val="605E5C"/>
      <w:shd w:val="clear" w:color="auto" w:fill="E1DFDD"/>
    </w:rPr>
  </w:style>
  <w:style w:type="character" w:customStyle="1" w:styleId="1b">
    <w:name w:val="页眉 字符1"/>
    <w:rPr>
      <w:rFonts w:eastAsia="Courier New"/>
      <w:kern w:val="2"/>
      <w:sz w:val="18"/>
      <w:szCs w:val="18"/>
      <w:lang w:val="en-US" w:eastAsia="zh-CN" w:bidi="ar-SA"/>
    </w:rPr>
  </w:style>
  <w:style w:type="character" w:customStyle="1" w:styleId="refer-count">
    <w:name w:val="refer-count"/>
  </w:style>
  <w:style w:type="character" w:customStyle="1" w:styleId="Char12">
    <w:name w:val="文档结构图 Char1"/>
    <w:rPr>
      <w:rFonts w:ascii="Courier New"/>
      <w:kern w:val="2"/>
      <w:sz w:val="18"/>
      <w:szCs w:val="18"/>
    </w:rPr>
  </w:style>
  <w:style w:type="character" w:customStyle="1" w:styleId="61">
    <w:name w:val="标题 6 字符1"/>
    <w:link w:val="60"/>
    <w:rPr>
      <w:rFonts w:ascii="等线 Light" w:eastAsia="Calibri Light" w:hAnsi="等线 Light"/>
      <w:b/>
      <w:bCs/>
      <w:sz w:val="24"/>
      <w:szCs w:val="24"/>
    </w:rPr>
  </w:style>
  <w:style w:type="character" w:customStyle="1" w:styleId="2Char">
    <w:name w:val="正文首行缩进 2 Char"/>
    <w:uiPriority w:val="99"/>
    <w:rPr>
      <w:rFonts w:ascii="Calibri" w:hAnsi="Calibri" w:cs="Calibri"/>
      <w:kern w:val="2"/>
      <w:sz w:val="21"/>
      <w:szCs w:val="21"/>
    </w:rPr>
  </w:style>
  <w:style w:type="character" w:customStyle="1" w:styleId="aff">
    <w:name w:val="批注主题 字符"/>
    <w:uiPriority w:val="99"/>
    <w:rPr>
      <w:rFonts w:ascii="Verdana" w:hAnsi="Verdana"/>
      <w:b/>
      <w:bCs/>
      <w:kern w:val="2"/>
      <w:sz w:val="21"/>
      <w:szCs w:val="24"/>
    </w:rPr>
  </w:style>
  <w:style w:type="character" w:customStyle="1" w:styleId="font31">
    <w:name w:val="font31"/>
    <w:rPr>
      <w:rFonts w:ascii="Verdana" w:hAnsi="Verdana" w:cs="Verdana" w:hint="default"/>
      <w:b/>
      <w:color w:val="000000"/>
      <w:sz w:val="21"/>
      <w:szCs w:val="21"/>
      <w:u w:val="none"/>
    </w:rPr>
  </w:style>
  <w:style w:type="character" w:customStyle="1" w:styleId="Char3">
    <w:name w:val="文档结构图 Char"/>
    <w:uiPriority w:val="99"/>
    <w:rPr>
      <w:rFonts w:eastAsia="宋体"/>
      <w:kern w:val="2"/>
      <w:sz w:val="21"/>
      <w:szCs w:val="24"/>
      <w:lang w:val="en-US" w:eastAsia="zh-CN" w:bidi="ar-SA"/>
    </w:rPr>
  </w:style>
  <w:style w:type="character" w:customStyle="1" w:styleId="Char13">
    <w:name w:val="纯文本 Char1"/>
    <w:rPr>
      <w:rFonts w:ascii="Courier New" w:hAnsi="Times" w:cs="Times"/>
      <w:kern w:val="2"/>
      <w:sz w:val="21"/>
      <w:szCs w:val="21"/>
    </w:rPr>
  </w:style>
  <w:style w:type="character" w:customStyle="1" w:styleId="font71">
    <w:name w:val="font71"/>
    <w:rPr>
      <w:rFonts w:ascii="Verdana" w:hAnsi="Verdana" w:cs="Verdana" w:hint="default"/>
      <w:b/>
      <w:color w:val="000000"/>
      <w:sz w:val="21"/>
      <w:szCs w:val="21"/>
      <w:u w:val="none"/>
    </w:rPr>
  </w:style>
  <w:style w:type="character" w:customStyle="1" w:styleId="Char14">
    <w:name w:val="批注框文本 Char1"/>
    <w:rPr>
      <w:kern w:val="2"/>
      <w:sz w:val="18"/>
      <w:szCs w:val="18"/>
    </w:rPr>
  </w:style>
  <w:style w:type="character" w:customStyle="1" w:styleId="38">
    <w:name w:val="批注文字 字符3"/>
    <w:uiPriority w:val="99"/>
    <w:semiHidden/>
    <w:rPr>
      <w:rFonts w:ascii="Verdana" w:eastAsia="Courier New" w:hAnsi="Verdana" w:cs="Verdana"/>
      <w:szCs w:val="24"/>
    </w:rPr>
  </w:style>
  <w:style w:type="character" w:customStyle="1" w:styleId="1c">
    <w:name w:val="样式1 字符"/>
    <w:link w:val="1d"/>
    <w:qFormat/>
    <w:rPr>
      <w:rFonts w:ascii="Courier New" w:hAnsi="Courier New"/>
      <w:kern w:val="2"/>
      <w:sz w:val="21"/>
      <w:szCs w:val="21"/>
    </w:rPr>
  </w:style>
  <w:style w:type="paragraph" w:customStyle="1" w:styleId="1d">
    <w:name w:val="样式1"/>
    <w:basedOn w:val="a0"/>
    <w:next w:val="4"/>
    <w:link w:val="1c"/>
    <w:pPr>
      <w:spacing w:line="360" w:lineRule="auto"/>
      <w:ind w:firstLineChars="200" w:firstLine="420"/>
    </w:pPr>
    <w:rPr>
      <w:rFonts w:ascii="Courier New" w:hAnsi="Courier New"/>
      <w:szCs w:val="21"/>
    </w:rPr>
  </w:style>
  <w:style w:type="character" w:customStyle="1" w:styleId="MSGENFONTSTYLENAMETEMPLATEROLENUMBERMSGENFONTSTYLENAMEBYROLETEXT17">
    <w:name w:val="MSG_EN_FONT_STYLE_NAME_TEMPLATE_ROLE_NUMBER MSG_EN_FONT_STYLE_NAME_BY_ROLE_TEXT 17_"/>
    <w:link w:val="MSGENFONTSTYLENAMETEMPLATEROLENUMBERMSGENFONTSTYLENAMEBYROLETEXT170"/>
    <w:qFormat/>
    <w:rPr>
      <w:rFonts w:ascii="宋体" w:eastAsia="宋体" w:hAnsi="宋体" w:cs="宋体"/>
      <w:sz w:val="15"/>
      <w:szCs w:val="15"/>
      <w:shd w:val="clear" w:color="auto" w:fill="FFFFFF"/>
    </w:rPr>
  </w:style>
  <w:style w:type="paragraph" w:customStyle="1" w:styleId="MSGENFONTSTYLENAMETEMPLATEROLENUMBERMSGENFONTSTYLENAMEBYROLETEXT170">
    <w:name w:val="MSG_EN_FONT_STYLE_NAME_TEMPLATE_ROLE_NUMBER MSG_EN_FONT_STYLE_NAME_BY_ROLE_TEXT 17"/>
    <w:basedOn w:val="a0"/>
    <w:link w:val="MSGENFONTSTYLENAMETEMPLATEROLENUMBERMSGENFONTSTYLENAMEBYROLETEXT17"/>
    <w:qFormat/>
    <w:pPr>
      <w:shd w:val="clear" w:color="auto" w:fill="FFFFFF"/>
      <w:spacing w:line="0" w:lineRule="atLeast"/>
      <w:ind w:hanging="320"/>
      <w:jc w:val="center"/>
    </w:pPr>
    <w:rPr>
      <w:rFonts w:ascii="宋体" w:hAnsi="宋体"/>
      <w:kern w:val="0"/>
      <w:sz w:val="15"/>
      <w:szCs w:val="15"/>
    </w:rPr>
  </w:style>
  <w:style w:type="character" w:customStyle="1" w:styleId="320">
    <w:name w:val="正文文本缩进 3 字符2"/>
    <w:uiPriority w:val="99"/>
    <w:semiHidden/>
    <w:rPr>
      <w:rFonts w:ascii="Verdana" w:eastAsia="Courier New" w:hAnsi="Verdana" w:cs="Verdana"/>
      <w:sz w:val="16"/>
      <w:szCs w:val="16"/>
    </w:rPr>
  </w:style>
  <w:style w:type="character" w:customStyle="1" w:styleId="50">
    <w:name w:val="标题 5 字符"/>
    <w:uiPriority w:val="9"/>
    <w:qFormat/>
    <w:rPr>
      <w:b/>
      <w:bCs/>
      <w:kern w:val="2"/>
      <w:sz w:val="28"/>
      <w:szCs w:val="28"/>
    </w:rPr>
  </w:style>
  <w:style w:type="character" w:customStyle="1" w:styleId="1e">
    <w:name w:val="副标题 字符1"/>
    <w:uiPriority w:val="11"/>
    <w:rPr>
      <w:rFonts w:ascii="@PMingLiU" w:hAnsi="@PMingLiU" w:cs="Verdana"/>
      <w:b/>
      <w:bCs/>
      <w:kern w:val="28"/>
      <w:sz w:val="32"/>
      <w:szCs w:val="32"/>
    </w:rPr>
  </w:style>
  <w:style w:type="character" w:customStyle="1" w:styleId="2c">
    <w:name w:val="标题 2 字符"/>
    <w:uiPriority w:val="9"/>
    <w:qFormat/>
    <w:rPr>
      <w:rFonts w:ascii="@PMingLiU" w:eastAsia="@PMingLiU" w:hAnsi="@PMingLiU" w:cs="Verdana"/>
      <w:b/>
      <w:bCs/>
      <w:sz w:val="32"/>
      <w:szCs w:val="32"/>
    </w:rPr>
  </w:style>
  <w:style w:type="character" w:customStyle="1" w:styleId="2d">
    <w:name w:val="纯文本 字符2"/>
    <w:uiPriority w:val="99"/>
    <w:rPr>
      <w:rFonts w:ascii="Courier New" w:hAnsi="Times" w:cs="Times"/>
      <w:kern w:val="2"/>
      <w:sz w:val="21"/>
      <w:szCs w:val="21"/>
    </w:rPr>
  </w:style>
  <w:style w:type="character" w:customStyle="1" w:styleId="62">
    <w:name w:val="标题 6 字符"/>
    <w:uiPriority w:val="9"/>
    <w:qFormat/>
    <w:rPr>
      <w:rFonts w:ascii="@PMingLiU" w:eastAsia="@PMingLiU" w:hAnsi="@PMingLiU" w:cs="Verdana"/>
      <w:b/>
      <w:bCs/>
      <w:sz w:val="24"/>
      <w:szCs w:val="24"/>
    </w:rPr>
  </w:style>
  <w:style w:type="character" w:customStyle="1" w:styleId="2e">
    <w:name w:val="未处理的提及2"/>
    <w:uiPriority w:val="99"/>
    <w:unhideWhenUsed/>
    <w:rPr>
      <w:color w:val="605E5C"/>
      <w:shd w:val="clear" w:color="auto" w:fill="E1DFDD"/>
    </w:rPr>
  </w:style>
  <w:style w:type="character" w:customStyle="1" w:styleId="aff0">
    <w:name w:val="正文文本 字符"/>
    <w:uiPriority w:val="99"/>
    <w:qFormat/>
    <w:rPr>
      <w:kern w:val="2"/>
      <w:sz w:val="21"/>
      <w:szCs w:val="24"/>
    </w:rPr>
  </w:style>
  <w:style w:type="character" w:customStyle="1" w:styleId="7Char">
    <w:name w:val="标题 7 Char"/>
    <w:rPr>
      <w:rFonts w:ascii="华文细黑" w:hAnsi="华文细黑"/>
      <w:sz w:val="22"/>
      <w:lang w:val="en-GB"/>
    </w:rPr>
  </w:style>
  <w:style w:type="character" w:customStyle="1" w:styleId="410">
    <w:name w:val="标题 4 字符1"/>
    <w:rPr>
      <w:rFonts w:ascii="等线 Light" w:eastAsia="Calibri Light" w:hAnsi="等线 Light"/>
      <w:b/>
      <w:bCs/>
      <w:kern w:val="2"/>
      <w:sz w:val="28"/>
      <w:szCs w:val="28"/>
    </w:rPr>
  </w:style>
  <w:style w:type="character" w:customStyle="1" w:styleId="Char4">
    <w:name w:val="批注框文本 Char"/>
    <w:uiPriority w:val="99"/>
    <w:semiHidden/>
    <w:qFormat/>
    <w:rPr>
      <w:sz w:val="18"/>
      <w:szCs w:val="18"/>
    </w:rPr>
  </w:style>
  <w:style w:type="character" w:customStyle="1" w:styleId="Char5">
    <w:name w:val="图片样式 Char"/>
    <w:link w:val="aff1"/>
    <w:qFormat/>
    <w:rPr>
      <w:rFonts w:cs="Courier New"/>
      <w:sz w:val="24"/>
    </w:rPr>
  </w:style>
  <w:style w:type="paragraph" w:customStyle="1" w:styleId="aff1">
    <w:name w:val="图片样式"/>
    <w:basedOn w:val="a0"/>
    <w:link w:val="Char5"/>
    <w:pPr>
      <w:spacing w:before="120"/>
      <w:jc w:val="center"/>
    </w:pPr>
    <w:rPr>
      <w:kern w:val="0"/>
      <w:sz w:val="24"/>
      <w:szCs w:val="20"/>
    </w:rPr>
  </w:style>
  <w:style w:type="character" w:customStyle="1" w:styleId="32">
    <w:name w:val="正文文本 字符3"/>
    <w:link w:val="a1"/>
    <w:uiPriority w:val="99"/>
    <w:qFormat/>
    <w:rPr>
      <w:rFonts w:eastAsia="Courier New"/>
      <w:kern w:val="2"/>
      <w:sz w:val="21"/>
      <w:szCs w:val="24"/>
      <w:lang w:val="en-US" w:eastAsia="zh-CN" w:bidi="ar-SA"/>
    </w:rPr>
  </w:style>
  <w:style w:type="character" w:customStyle="1" w:styleId="Char6">
    <w:name w:val="副标题 Char"/>
    <w:uiPriority w:val="11"/>
    <w:rPr>
      <w:rFonts w:ascii="Courier New" w:hAnsi="Courier New" w:cs="Verdana"/>
      <w:b/>
      <w:bCs/>
      <w:kern w:val="28"/>
      <w:sz w:val="24"/>
      <w:szCs w:val="32"/>
    </w:rPr>
  </w:style>
  <w:style w:type="character" w:customStyle="1" w:styleId="2Char1">
    <w:name w:val="正文首行缩进 2 Char1"/>
  </w:style>
  <w:style w:type="character" w:customStyle="1" w:styleId="13">
    <w:name w:val="标题 1 字符3"/>
    <w:link w:val="10"/>
    <w:uiPriority w:val="9"/>
    <w:qFormat/>
    <w:rPr>
      <w:rFonts w:eastAsia="Courier New"/>
      <w:b/>
      <w:bCs/>
      <w:kern w:val="44"/>
      <w:sz w:val="36"/>
      <w:szCs w:val="44"/>
    </w:rPr>
  </w:style>
  <w:style w:type="character" w:customStyle="1" w:styleId="Char7">
    <w:name w:val="纯文本 Char"/>
    <w:rPr>
      <w:rFonts w:ascii="Courier New" w:eastAsia="Courier New" w:hAnsi="Courier New" w:cs="Courier New"/>
      <w:kern w:val="2"/>
      <w:sz w:val="24"/>
      <w:szCs w:val="24"/>
    </w:rPr>
  </w:style>
  <w:style w:type="character" w:customStyle="1" w:styleId="321">
    <w:name w:val="标题 3 字符2"/>
    <w:rPr>
      <w:rFonts w:ascii="Calibri Light" w:eastAsia="Calibri Light" w:hAnsi="Courier New" w:cs="Verdana"/>
      <w:bCs/>
      <w:sz w:val="28"/>
      <w:szCs w:val="28"/>
    </w:rPr>
  </w:style>
  <w:style w:type="character" w:customStyle="1" w:styleId="23">
    <w:name w:val="标题 2 字符3"/>
    <w:link w:val="2"/>
    <w:uiPriority w:val="9"/>
    <w:rPr>
      <w:rFonts w:cs="微软雅黑"/>
      <w:b/>
      <w:bCs/>
      <w:color w:val="000000"/>
      <w:kern w:val="2"/>
      <w:sz w:val="30"/>
      <w:szCs w:val="32"/>
    </w:rPr>
  </w:style>
  <w:style w:type="character" w:customStyle="1" w:styleId="3Char">
    <w:name w:val="正文文本 3 Char"/>
    <w:uiPriority w:val="99"/>
    <w:semiHidden/>
    <w:qFormat/>
    <w:rPr>
      <w:rFonts w:ascii="CG Times" w:eastAsia="Courier New" w:hAnsi="CG Times" w:cs="Verdana"/>
      <w:kern w:val="2"/>
      <w:sz w:val="16"/>
      <w:szCs w:val="16"/>
    </w:rPr>
  </w:style>
  <w:style w:type="character" w:customStyle="1" w:styleId="39">
    <w:name w:val="正文文本 3 字符"/>
    <w:uiPriority w:val="99"/>
    <w:qFormat/>
    <w:rPr>
      <w:rFonts w:ascii="Courier New"/>
      <w:kern w:val="2"/>
      <w:sz w:val="24"/>
    </w:rPr>
  </w:style>
  <w:style w:type="character" w:customStyle="1" w:styleId="33">
    <w:name w:val="标题 3 字符3"/>
    <w:link w:val="3"/>
    <w:qFormat/>
    <w:rPr>
      <w:rFonts w:ascii="Calibri Light" w:hAnsi="Courier New"/>
      <w:bCs/>
      <w:kern w:val="2"/>
      <w:sz w:val="28"/>
      <w:szCs w:val="28"/>
    </w:rPr>
  </w:style>
  <w:style w:type="character" w:customStyle="1" w:styleId="content">
    <w:name w:val="content"/>
  </w:style>
  <w:style w:type="character" w:customStyle="1" w:styleId="aff2">
    <w:name w:val="批注框文本 字符"/>
    <w:uiPriority w:val="99"/>
    <w:rPr>
      <w:rFonts w:ascii="Verdana" w:hAnsi="Verdana"/>
      <w:kern w:val="2"/>
      <w:sz w:val="18"/>
      <w:szCs w:val="18"/>
    </w:rPr>
  </w:style>
  <w:style w:type="character" w:customStyle="1" w:styleId="43">
    <w:name w:val="标题 4 字符3"/>
    <w:link w:val="4"/>
    <w:rPr>
      <w:rFonts w:ascii="等线 Light" w:hAnsi="等线 Light"/>
      <w:bCs/>
      <w:kern w:val="2"/>
      <w:sz w:val="28"/>
      <w:szCs w:val="28"/>
    </w:rPr>
  </w:style>
  <w:style w:type="character" w:customStyle="1" w:styleId="150">
    <w:name w:val="15"/>
    <w:rPr>
      <w:rFonts w:ascii="CG Times" w:hAnsi="CG Times" w:cs="CG Times" w:hint="default"/>
      <w:sz w:val="18"/>
      <w:szCs w:val="18"/>
    </w:rPr>
  </w:style>
  <w:style w:type="character" w:customStyle="1" w:styleId="bord">
    <w:name w:val="bord"/>
  </w:style>
  <w:style w:type="character" w:customStyle="1" w:styleId="71">
    <w:name w:val="标题 7 字符1"/>
    <w:link w:val="70"/>
    <w:rPr>
      <w:b/>
      <w:bCs/>
      <w:sz w:val="24"/>
      <w:szCs w:val="24"/>
    </w:rPr>
  </w:style>
  <w:style w:type="character" w:customStyle="1" w:styleId="6Char">
    <w:name w:val="标题 6 Char"/>
    <w:uiPriority w:val="9"/>
    <w:semiHidden/>
    <w:qFormat/>
    <w:rPr>
      <w:rFonts w:ascii="Cambria" w:eastAsia="Courier New" w:hAnsi="Cambria" w:cs="Verdana"/>
      <w:b/>
      <w:bCs/>
      <w:kern w:val="2"/>
      <w:sz w:val="24"/>
      <w:szCs w:val="24"/>
    </w:rPr>
  </w:style>
  <w:style w:type="character" w:customStyle="1" w:styleId="1f">
    <w:name w:val="批注主题 字符1"/>
    <w:rPr>
      <w:rFonts w:ascii="Verdana" w:hAnsi="Verdana"/>
      <w:b/>
      <w:bCs/>
      <w:kern w:val="2"/>
      <w:sz w:val="21"/>
      <w:szCs w:val="24"/>
    </w:rPr>
  </w:style>
  <w:style w:type="character" w:customStyle="1" w:styleId="81">
    <w:name w:val="标题 8 字符1"/>
    <w:link w:val="8"/>
    <w:rPr>
      <w:rFonts w:ascii="等线 Light" w:eastAsia="Calibri Light" w:hAnsi="等线 Light"/>
      <w:sz w:val="24"/>
      <w:szCs w:val="24"/>
    </w:rPr>
  </w:style>
  <w:style w:type="character" w:customStyle="1" w:styleId="aff3">
    <w:name w:val="正文首行缩进 字符"/>
    <w:uiPriority w:val="99"/>
    <w:semiHidden/>
  </w:style>
  <w:style w:type="character" w:customStyle="1" w:styleId="2Char2">
    <w:name w:val="正文文本缩进 2 Char2"/>
    <w:rPr>
      <w:kern w:val="2"/>
      <w:sz w:val="21"/>
      <w:szCs w:val="24"/>
    </w:rPr>
  </w:style>
  <w:style w:type="character" w:customStyle="1" w:styleId="91">
    <w:name w:val="标题 9 字符1"/>
    <w:link w:val="9"/>
    <w:rPr>
      <w:rFonts w:ascii="等线 Light" w:eastAsia="Calibri Light" w:hAnsi="等线 Light"/>
      <w:sz w:val="21"/>
      <w:szCs w:val="21"/>
    </w:rPr>
  </w:style>
  <w:style w:type="character" w:customStyle="1" w:styleId="3Char0">
    <w:name w:val="正文文本缩进 3 Char"/>
    <w:rPr>
      <w:kern w:val="2"/>
      <w:sz w:val="16"/>
      <w:szCs w:val="16"/>
    </w:rPr>
  </w:style>
  <w:style w:type="character" w:customStyle="1" w:styleId="aff4">
    <w:name w:val="批注文字 字符"/>
    <w:uiPriority w:val="99"/>
    <w:qFormat/>
    <w:rPr>
      <w:rFonts w:ascii="Verdana" w:hAnsi="Verdana"/>
      <w:kern w:val="2"/>
      <w:sz w:val="21"/>
      <w:szCs w:val="24"/>
    </w:rPr>
  </w:style>
  <w:style w:type="character" w:customStyle="1" w:styleId="a7">
    <w:name w:val="正文缩进 字符"/>
    <w:link w:val="a6"/>
    <w:qFormat/>
    <w:locked/>
    <w:rPr>
      <w:kern w:val="2"/>
      <w:sz w:val="21"/>
      <w:szCs w:val="24"/>
    </w:rPr>
  </w:style>
  <w:style w:type="character" w:customStyle="1" w:styleId="2Char0">
    <w:name w:val="正文文本 2 Char"/>
    <w:uiPriority w:val="99"/>
    <w:qFormat/>
    <w:rPr>
      <w:rFonts w:ascii="宋体" w:hAnsi="宋体"/>
      <w:sz w:val="24"/>
    </w:rPr>
  </w:style>
  <w:style w:type="character" w:customStyle="1" w:styleId="Char15">
    <w:name w:val="正文文本 Char1"/>
    <w:rPr>
      <w:kern w:val="2"/>
      <w:sz w:val="21"/>
      <w:szCs w:val="24"/>
    </w:rPr>
  </w:style>
  <w:style w:type="character" w:customStyle="1" w:styleId="41">
    <w:name w:val="文档结构图 字符4"/>
    <w:link w:val="a8"/>
    <w:uiPriority w:val="99"/>
    <w:qFormat/>
    <w:rPr>
      <w:rFonts w:eastAsia="Courier New"/>
      <w:kern w:val="2"/>
      <w:sz w:val="21"/>
      <w:szCs w:val="24"/>
      <w:lang w:val="en-US" w:eastAsia="zh-CN" w:bidi="ar-SA"/>
    </w:rPr>
  </w:style>
  <w:style w:type="character" w:customStyle="1" w:styleId="Char8">
    <w:name w:val="标题 Char"/>
    <w:rPr>
      <w:rFonts w:ascii="Arial" w:hAnsi="Arial"/>
      <w:b/>
      <w:sz w:val="32"/>
    </w:rPr>
  </w:style>
  <w:style w:type="character" w:customStyle="1" w:styleId="1f0">
    <w:name w:val="列表段落 字符1"/>
    <w:uiPriority w:val="34"/>
    <w:locked/>
    <w:rPr>
      <w:rFonts w:ascii="CG Times" w:hAnsi="CG Times"/>
      <w:kern w:val="2"/>
      <w:sz w:val="21"/>
      <w:szCs w:val="22"/>
    </w:rPr>
  </w:style>
  <w:style w:type="character" w:customStyle="1" w:styleId="310">
    <w:name w:val="正文文本 3 字符1"/>
    <w:link w:val="34"/>
    <w:rPr>
      <w:rFonts w:ascii="Courier New"/>
      <w:kern w:val="2"/>
      <w:sz w:val="24"/>
    </w:rPr>
  </w:style>
  <w:style w:type="character" w:customStyle="1" w:styleId="HTMLChar">
    <w:name w:val="HTML 预设格式 Char"/>
    <w:uiPriority w:val="99"/>
    <w:rPr>
      <w:rFonts w:ascii="宋体" w:hAnsi="宋体"/>
      <w:sz w:val="24"/>
      <w:szCs w:val="24"/>
    </w:rPr>
  </w:style>
  <w:style w:type="character" w:customStyle="1" w:styleId="1f1">
    <w:name w:val="文档结构图 字符1"/>
    <w:rPr>
      <w:kern w:val="2"/>
      <w:sz w:val="21"/>
      <w:szCs w:val="24"/>
      <w:shd w:val="clear" w:color="auto" w:fill="000080"/>
    </w:rPr>
  </w:style>
  <w:style w:type="character" w:customStyle="1" w:styleId="ab">
    <w:name w:val="正文文本缩进 字符"/>
    <w:link w:val="aa"/>
    <w:rPr>
      <w:kern w:val="2"/>
      <w:sz w:val="21"/>
      <w:szCs w:val="24"/>
    </w:rPr>
  </w:style>
  <w:style w:type="character" w:customStyle="1" w:styleId="aff5">
    <w:name w:val="标题 字符"/>
    <w:rPr>
      <w:rFonts w:ascii="等线 Light" w:hAnsi="等线 Light"/>
      <w:b/>
      <w:sz w:val="32"/>
    </w:rPr>
  </w:style>
  <w:style w:type="character" w:customStyle="1" w:styleId="12">
    <w:name w:val="日期 字符1"/>
    <w:link w:val="ad"/>
    <w:rPr>
      <w:kern w:val="2"/>
      <w:sz w:val="24"/>
    </w:rPr>
  </w:style>
  <w:style w:type="character" w:customStyle="1" w:styleId="9Char1">
    <w:name w:val="标题 9 Char1"/>
    <w:rPr>
      <w:rFonts w:ascii="Arial" w:eastAsia="黑体" w:hAnsi="Arial"/>
      <w:sz w:val="21"/>
      <w:szCs w:val="21"/>
    </w:rPr>
  </w:style>
  <w:style w:type="character" w:customStyle="1" w:styleId="45">
    <w:name w:val="未处理的提及4"/>
    <w:uiPriority w:val="99"/>
    <w:unhideWhenUsed/>
    <w:rPr>
      <w:color w:val="605E5C"/>
      <w:shd w:val="clear" w:color="auto" w:fill="E1DFDD"/>
    </w:rPr>
  </w:style>
  <w:style w:type="character" w:customStyle="1" w:styleId="210">
    <w:name w:val="正文文本缩进 2 字符1"/>
    <w:link w:val="22"/>
    <w:rPr>
      <w:szCs w:val="24"/>
    </w:rPr>
  </w:style>
  <w:style w:type="character" w:customStyle="1" w:styleId="Char9">
    <w:name w:val="列出段落 Char"/>
    <w:uiPriority w:val="34"/>
    <w:locked/>
    <w:rPr>
      <w:kern w:val="2"/>
      <w:sz w:val="21"/>
    </w:rPr>
  </w:style>
  <w:style w:type="character" w:customStyle="1" w:styleId="aff6">
    <w:name w:val="日期 字符"/>
    <w:rPr>
      <w:rFonts w:ascii="Verdana" w:hAnsi="Verdana"/>
      <w:kern w:val="2"/>
      <w:sz w:val="21"/>
      <w:szCs w:val="24"/>
    </w:rPr>
  </w:style>
  <w:style w:type="character" w:customStyle="1" w:styleId="14">
    <w:name w:val="批注框文本 字符1"/>
    <w:link w:val="ae"/>
    <w:rPr>
      <w:kern w:val="2"/>
      <w:sz w:val="18"/>
      <w:szCs w:val="18"/>
    </w:rPr>
  </w:style>
  <w:style w:type="character" w:customStyle="1" w:styleId="Chara">
    <w:name w:val="正文文本 Char"/>
    <w:uiPriority w:val="1"/>
    <w:rPr>
      <w:rFonts w:eastAsia="宋体"/>
      <w:kern w:val="2"/>
      <w:sz w:val="21"/>
      <w:szCs w:val="24"/>
      <w:lang w:val="en-US" w:eastAsia="zh-CN" w:bidi="ar-SA"/>
    </w:rPr>
  </w:style>
  <w:style w:type="character" w:customStyle="1" w:styleId="1f2">
    <w:name w:val="正文文本首行缩进 字符1"/>
  </w:style>
  <w:style w:type="character" w:customStyle="1" w:styleId="24">
    <w:name w:val="页脚 字符2"/>
    <w:link w:val="af"/>
    <w:uiPriority w:val="99"/>
    <w:qFormat/>
    <w:rPr>
      <w:rFonts w:eastAsia="Courier New"/>
      <w:kern w:val="2"/>
      <w:sz w:val="18"/>
      <w:szCs w:val="18"/>
      <w:lang w:val="en-US" w:eastAsia="zh-CN" w:bidi="ar-SA"/>
    </w:rPr>
  </w:style>
  <w:style w:type="character" w:customStyle="1" w:styleId="2Char3">
    <w:name w:val="正文文本缩进 2 Char"/>
    <w:rPr>
      <w:szCs w:val="24"/>
    </w:rPr>
  </w:style>
  <w:style w:type="character" w:customStyle="1" w:styleId="PlainTextChar2">
    <w:name w:val="Plain Text Char2"/>
    <w:link w:val="1f3"/>
    <w:uiPriority w:val="99"/>
    <w:locked/>
    <w:rPr>
      <w:rFonts w:ascii="Courier New" w:hAnsi="Times" w:cs="Times"/>
      <w:szCs w:val="21"/>
    </w:rPr>
  </w:style>
  <w:style w:type="paragraph" w:customStyle="1" w:styleId="1f3">
    <w:name w:val="纯文本1"/>
    <w:basedOn w:val="a0"/>
    <w:link w:val="PlainTextChar2"/>
    <w:uiPriority w:val="99"/>
    <w:rPr>
      <w:rFonts w:ascii="Courier New" w:hAnsi="Times"/>
      <w:kern w:val="0"/>
      <w:sz w:val="20"/>
      <w:szCs w:val="21"/>
    </w:rPr>
  </w:style>
  <w:style w:type="character" w:customStyle="1" w:styleId="25">
    <w:name w:val="页眉 字符2"/>
    <w:link w:val="af0"/>
    <w:uiPriority w:val="99"/>
    <w:qFormat/>
    <w:rPr>
      <w:rFonts w:eastAsia="Courier New"/>
      <w:kern w:val="2"/>
      <w:sz w:val="18"/>
      <w:szCs w:val="18"/>
      <w:lang w:val="en-US" w:eastAsia="zh-CN" w:bidi="ar-SA"/>
    </w:rPr>
  </w:style>
  <w:style w:type="character" w:customStyle="1" w:styleId="8Char1">
    <w:name w:val="标题 8 Char1"/>
    <w:rPr>
      <w:rFonts w:ascii="Arial" w:eastAsia="黑体" w:hAnsi="Arial"/>
      <w:sz w:val="24"/>
      <w:szCs w:val="24"/>
    </w:rPr>
  </w:style>
  <w:style w:type="character" w:customStyle="1" w:styleId="2f">
    <w:name w:val="批注主题 字符2"/>
    <w:rPr>
      <w:rFonts w:eastAsia="Courier New"/>
      <w:b/>
      <w:bCs/>
      <w:szCs w:val="24"/>
    </w:rPr>
  </w:style>
  <w:style w:type="character" w:customStyle="1" w:styleId="311">
    <w:name w:val="正文文本缩进 3 字符1"/>
    <w:link w:val="35"/>
    <w:rPr>
      <w:kern w:val="2"/>
      <w:sz w:val="16"/>
      <w:szCs w:val="16"/>
    </w:rPr>
  </w:style>
  <w:style w:type="character" w:customStyle="1" w:styleId="Charb">
    <w:name w:val="批注文字 Char"/>
    <w:uiPriority w:val="99"/>
    <w:rPr>
      <w:rFonts w:eastAsia="宋体"/>
      <w:kern w:val="2"/>
      <w:sz w:val="21"/>
      <w:szCs w:val="24"/>
      <w:lang w:val="en-US" w:eastAsia="zh-CN" w:bidi="ar-SA"/>
    </w:rPr>
  </w:style>
  <w:style w:type="character" w:customStyle="1" w:styleId="120">
    <w:name w:val="标题 1 字符2"/>
    <w:uiPriority w:val="9"/>
    <w:rPr>
      <w:rFonts w:ascii="Verdana" w:eastAsia="Courier New" w:hAnsi="Verdana" w:cs="Verdana"/>
      <w:b/>
      <w:bCs/>
      <w:kern w:val="44"/>
      <w:sz w:val="44"/>
      <w:szCs w:val="44"/>
    </w:rPr>
  </w:style>
  <w:style w:type="character" w:customStyle="1" w:styleId="211">
    <w:name w:val="正文文本 2 字符1"/>
    <w:link w:val="26"/>
    <w:uiPriority w:val="99"/>
    <w:qFormat/>
    <w:rPr>
      <w:rFonts w:ascii="Courier New" w:hAnsi="Courier New"/>
      <w:sz w:val="24"/>
    </w:rPr>
  </w:style>
  <w:style w:type="character" w:customStyle="1" w:styleId="6Char1">
    <w:name w:val="标题 6 Char1"/>
    <w:rPr>
      <w:rFonts w:ascii="Arial" w:eastAsia="黑体" w:hAnsi="Arial"/>
      <w:b/>
      <w:bCs/>
      <w:sz w:val="24"/>
      <w:szCs w:val="24"/>
    </w:rPr>
  </w:style>
  <w:style w:type="character" w:customStyle="1" w:styleId="sony121">
    <w:name w:val="sony121"/>
    <w:rPr>
      <w:rFonts w:ascii="Courier New" w:eastAsia="Courier New" w:hAnsi="Courier New" w:hint="eastAsia"/>
      <w:sz w:val="18"/>
      <w:szCs w:val="18"/>
    </w:rPr>
  </w:style>
  <w:style w:type="character" w:customStyle="1" w:styleId="HTML1">
    <w:name w:val="HTML 预设格式 字符1"/>
    <w:link w:val="HTML"/>
    <w:uiPriority w:val="99"/>
    <w:qFormat/>
    <w:rPr>
      <w:rFonts w:ascii="Courier New" w:hAnsi="Courier New"/>
      <w:sz w:val="24"/>
      <w:szCs w:val="24"/>
    </w:rPr>
  </w:style>
  <w:style w:type="character" w:customStyle="1" w:styleId="2Char4">
    <w:name w:val="标题 2 Char"/>
    <w:uiPriority w:val="9"/>
    <w:rPr>
      <w:rFonts w:ascii="Arial" w:eastAsia="黑体" w:hAnsi="Arial"/>
      <w:b/>
      <w:bCs/>
      <w:kern w:val="2"/>
      <w:sz w:val="32"/>
      <w:szCs w:val="32"/>
      <w:lang w:val="en-US" w:eastAsia="zh-CN" w:bidi="ar-SA"/>
    </w:rPr>
  </w:style>
  <w:style w:type="character" w:customStyle="1" w:styleId="110">
    <w:name w:val="标题 1 字符1"/>
    <w:rPr>
      <w:b/>
      <w:bCs/>
      <w:kern w:val="44"/>
      <w:sz w:val="44"/>
      <w:szCs w:val="44"/>
    </w:rPr>
  </w:style>
  <w:style w:type="character" w:customStyle="1" w:styleId="16">
    <w:name w:val="标题 字符1"/>
    <w:link w:val="af4"/>
    <w:rPr>
      <w:rFonts w:ascii="等线 Light" w:hAnsi="等线 Light"/>
      <w:b/>
      <w:sz w:val="32"/>
    </w:rPr>
  </w:style>
  <w:style w:type="character" w:customStyle="1" w:styleId="4Char">
    <w:name w:val="标题 4 Char"/>
    <w:rPr>
      <w:rFonts w:ascii="Arial" w:eastAsia="黑体" w:hAnsi="Arial"/>
      <w:b/>
      <w:bCs/>
      <w:kern w:val="2"/>
      <w:sz w:val="28"/>
      <w:szCs w:val="28"/>
      <w:lang w:val="en-US" w:eastAsia="zh-CN" w:bidi="ar-SA"/>
    </w:rPr>
  </w:style>
  <w:style w:type="character" w:customStyle="1" w:styleId="font51">
    <w:name w:val="font51"/>
    <w:rPr>
      <w:rFonts w:ascii="仿宋_GB2312" w:eastAsia="仿宋_GB2312" w:hAnsi="仿宋_GB2312" w:cs="仿宋_GB2312" w:hint="eastAsia"/>
      <w:color w:val="000000"/>
      <w:sz w:val="18"/>
      <w:szCs w:val="18"/>
      <w:u w:val="none"/>
    </w:rPr>
  </w:style>
  <w:style w:type="character" w:customStyle="1" w:styleId="44">
    <w:name w:val="批注主题 字符4"/>
    <w:link w:val="af5"/>
    <w:uiPriority w:val="99"/>
    <w:qFormat/>
    <w:rPr>
      <w:rFonts w:eastAsia="Courier New"/>
      <w:b/>
      <w:bCs/>
      <w:kern w:val="2"/>
      <w:sz w:val="21"/>
      <w:szCs w:val="24"/>
      <w:lang w:val="en-US" w:eastAsia="zh-CN" w:bidi="ar-SA"/>
    </w:rPr>
  </w:style>
  <w:style w:type="character" w:customStyle="1" w:styleId="3Char1">
    <w:name w:val="标题 3 Char"/>
    <w:uiPriority w:val="9"/>
    <w:qFormat/>
    <w:rPr>
      <w:rFonts w:ascii="黑体" w:eastAsia="黑体" w:hAnsi="宋体"/>
      <w:bCs/>
      <w:kern w:val="2"/>
      <w:sz w:val="28"/>
      <w:szCs w:val="28"/>
      <w:lang w:val="en-US" w:eastAsia="zh-CN" w:bidi="ar-SA"/>
    </w:rPr>
  </w:style>
  <w:style w:type="character" w:customStyle="1" w:styleId="1f4">
    <w:name w:val="正文文本 字符1"/>
    <w:rPr>
      <w:rFonts w:eastAsia="Courier New"/>
      <w:szCs w:val="24"/>
    </w:rPr>
  </w:style>
  <w:style w:type="character" w:customStyle="1" w:styleId="1f5">
    <w:name w:val="正文首行缩进 字符1"/>
    <w:link w:val="1f6"/>
    <w:rPr>
      <w:lang w:val="en-US" w:eastAsia="zh-CN" w:bidi="ar-SA"/>
    </w:rPr>
  </w:style>
  <w:style w:type="paragraph" w:customStyle="1" w:styleId="1f6">
    <w:name w:val="正文首行缩进1"/>
    <w:basedOn w:val="a0"/>
    <w:link w:val="1f5"/>
    <w:pPr>
      <w:spacing w:line="312" w:lineRule="auto"/>
      <w:ind w:firstLine="420"/>
    </w:pPr>
    <w:rPr>
      <w:kern w:val="0"/>
      <w:sz w:val="20"/>
      <w:szCs w:val="20"/>
    </w:rPr>
  </w:style>
  <w:style w:type="character" w:customStyle="1" w:styleId="5Char1">
    <w:name w:val="标题 5 Char1"/>
    <w:rPr>
      <w:b/>
      <w:bCs/>
      <w:kern w:val="2"/>
      <w:sz w:val="28"/>
      <w:szCs w:val="28"/>
    </w:rPr>
  </w:style>
  <w:style w:type="character" w:customStyle="1" w:styleId="312">
    <w:name w:val="标题 3 字符1"/>
    <w:rPr>
      <w:rFonts w:ascii="Calibri Light" w:eastAsia="Calibri Light" w:hAnsi="Courier New"/>
      <w:bCs/>
      <w:kern w:val="2"/>
      <w:sz w:val="28"/>
      <w:szCs w:val="28"/>
    </w:rPr>
  </w:style>
  <w:style w:type="character" w:customStyle="1" w:styleId="2f0">
    <w:name w:val="正文首行缩进 2 字符"/>
    <w:link w:val="213"/>
    <w:uiPriority w:val="99"/>
    <w:rPr>
      <w:rFonts w:ascii="CG Times" w:hAnsi="CG Times" w:cs="CG Times"/>
      <w:kern w:val="2"/>
      <w:sz w:val="21"/>
      <w:szCs w:val="21"/>
    </w:rPr>
  </w:style>
  <w:style w:type="paragraph" w:customStyle="1" w:styleId="213">
    <w:name w:val="正文首行缩进 21"/>
    <w:basedOn w:val="aa"/>
    <w:link w:val="2f0"/>
    <w:uiPriority w:val="99"/>
    <w:pPr>
      <w:ind w:firstLineChars="200" w:firstLine="420"/>
    </w:pPr>
    <w:rPr>
      <w:rFonts w:ascii="CG Times" w:hAnsi="CG Times"/>
      <w:szCs w:val="21"/>
    </w:rPr>
  </w:style>
  <w:style w:type="character" w:customStyle="1" w:styleId="7Char1">
    <w:name w:val="标题 7 Char1"/>
    <w:rPr>
      <w:b/>
      <w:bCs/>
      <w:sz w:val="24"/>
      <w:szCs w:val="24"/>
    </w:rPr>
  </w:style>
  <w:style w:type="character" w:customStyle="1" w:styleId="ItemListChar1">
    <w:name w:val="Item List Char1"/>
    <w:link w:val="ItemList"/>
    <w:rPr>
      <w:szCs w:val="21"/>
      <w:lang w:val="en-US" w:eastAsia="zh-CN" w:bidi="ar-SA"/>
    </w:rPr>
  </w:style>
  <w:style w:type="paragraph" w:customStyle="1" w:styleId="ItemList">
    <w:name w:val="Item List"/>
    <w:link w:val="ItemListChar1"/>
    <w:qFormat/>
    <w:pPr>
      <w:numPr>
        <w:numId w:val="2"/>
      </w:numPr>
      <w:tabs>
        <w:tab w:val="left" w:pos="709"/>
      </w:tabs>
      <w:adjustRightInd w:val="0"/>
      <w:snapToGrid w:val="0"/>
      <w:spacing w:before="80" w:after="80" w:line="240" w:lineRule="atLeast"/>
    </w:pPr>
    <w:rPr>
      <w:szCs w:val="21"/>
    </w:rPr>
  </w:style>
  <w:style w:type="character" w:customStyle="1" w:styleId="font61">
    <w:name w:val="font61"/>
    <w:rPr>
      <w:rFonts w:ascii="Courier New" w:eastAsia="Courier New" w:hAnsi="Courier New" w:cs="Courier New" w:hint="eastAsia"/>
      <w:color w:val="000000"/>
      <w:sz w:val="21"/>
      <w:szCs w:val="21"/>
      <w:u w:val="none"/>
    </w:rPr>
  </w:style>
  <w:style w:type="character" w:customStyle="1" w:styleId="3Char10">
    <w:name w:val="正文文本 3 Char1"/>
    <w:rPr>
      <w:rFonts w:ascii="宋体"/>
      <w:kern w:val="2"/>
      <w:sz w:val="24"/>
    </w:rPr>
  </w:style>
  <w:style w:type="character" w:customStyle="1" w:styleId="aff7">
    <w:name w:val="纯文本 字符"/>
    <w:rPr>
      <w:rFonts w:ascii="Courier New" w:hAnsi="Times" w:cs="Times"/>
      <w:kern w:val="2"/>
      <w:sz w:val="21"/>
      <w:szCs w:val="21"/>
    </w:rPr>
  </w:style>
  <w:style w:type="character" w:customStyle="1" w:styleId="font161">
    <w:name w:val="font161"/>
    <w:rPr>
      <w:b/>
      <w:bCs/>
      <w:sz w:val="32"/>
      <w:szCs w:val="32"/>
    </w:rPr>
  </w:style>
  <w:style w:type="character" w:customStyle="1" w:styleId="Charc">
    <w:name w:val="正文文本缩进 Char"/>
    <w:rPr>
      <w:kern w:val="2"/>
      <w:sz w:val="21"/>
      <w:szCs w:val="24"/>
    </w:rPr>
  </w:style>
  <w:style w:type="character" w:customStyle="1" w:styleId="aff8">
    <w:name w:val="列表段落 字符"/>
    <w:uiPriority w:val="34"/>
    <w:locked/>
    <w:rPr>
      <w:kern w:val="2"/>
      <w:sz w:val="21"/>
      <w:szCs w:val="24"/>
    </w:rPr>
  </w:style>
  <w:style w:type="character" w:customStyle="1" w:styleId="font21">
    <w:name w:val="font21"/>
    <w:rPr>
      <w:rFonts w:ascii="Courier New" w:eastAsia="Courier New" w:hAnsi="Courier New" w:cs="Courier New" w:hint="eastAsia"/>
      <w:color w:val="000000"/>
      <w:sz w:val="21"/>
      <w:szCs w:val="21"/>
      <w:u w:val="none"/>
    </w:rPr>
  </w:style>
  <w:style w:type="character" w:customStyle="1" w:styleId="Char16">
    <w:name w:val="日期 Char1"/>
    <w:rPr>
      <w:kern w:val="2"/>
      <w:sz w:val="24"/>
    </w:rPr>
  </w:style>
  <w:style w:type="character" w:customStyle="1" w:styleId="aff9">
    <w:name w:val="正文文本首行缩进 字符"/>
  </w:style>
  <w:style w:type="character" w:customStyle="1" w:styleId="font41">
    <w:name w:val="font41"/>
    <w:rPr>
      <w:rFonts w:ascii="Courier New" w:eastAsia="Courier New" w:hAnsi="Courier New" w:cs="Courier New" w:hint="eastAsia"/>
      <w:b/>
      <w:color w:val="000000"/>
      <w:sz w:val="21"/>
      <w:szCs w:val="21"/>
      <w:u w:val="none"/>
    </w:rPr>
  </w:style>
  <w:style w:type="character" w:customStyle="1" w:styleId="Char20">
    <w:name w:val="纯文本 Char2"/>
    <w:rPr>
      <w:rFonts w:ascii="宋体" w:hAnsi="Courier New" w:cs="Courier New"/>
      <w:szCs w:val="21"/>
    </w:rPr>
  </w:style>
  <w:style w:type="character" w:customStyle="1" w:styleId="affa">
    <w:name w:val="文档结构图 字符"/>
    <w:uiPriority w:val="99"/>
    <w:rPr>
      <w:rFonts w:ascii="Courier New"/>
      <w:kern w:val="2"/>
      <w:sz w:val="18"/>
      <w:szCs w:val="18"/>
    </w:rPr>
  </w:style>
  <w:style w:type="character" w:customStyle="1" w:styleId="font81">
    <w:name w:val="font81"/>
    <w:rPr>
      <w:rFonts w:ascii="Verdana" w:hAnsi="Verdana" w:cs="Verdana" w:hint="default"/>
      <w:color w:val="000000"/>
      <w:sz w:val="21"/>
      <w:szCs w:val="21"/>
      <w:u w:val="none"/>
    </w:rPr>
  </w:style>
  <w:style w:type="character" w:customStyle="1" w:styleId="Chard">
    <w:name w:val="正文首行缩进 Char"/>
    <w:rPr>
      <w:lang w:val="en-US" w:eastAsia="zh-CN" w:bidi="ar-SA"/>
    </w:rPr>
  </w:style>
  <w:style w:type="character" w:customStyle="1" w:styleId="3a">
    <w:name w:val="批注主题 字符3"/>
    <w:uiPriority w:val="99"/>
    <w:semiHidden/>
    <w:rPr>
      <w:rFonts w:ascii="Verdana" w:eastAsia="Courier New" w:hAnsi="Verdana" w:cs="Verdana"/>
      <w:b/>
      <w:bCs/>
      <w:szCs w:val="24"/>
    </w:rPr>
  </w:style>
  <w:style w:type="character" w:customStyle="1" w:styleId="affb">
    <w:name w:val="列出段落 字符"/>
    <w:link w:val="affc"/>
    <w:uiPriority w:val="34"/>
    <w:qFormat/>
    <w:locked/>
    <w:rPr>
      <w:kern w:val="2"/>
      <w:sz w:val="21"/>
    </w:rPr>
  </w:style>
  <w:style w:type="paragraph" w:customStyle="1" w:styleId="affc">
    <w:name w:val="列出段落"/>
    <w:basedOn w:val="a0"/>
    <w:link w:val="affb"/>
    <w:uiPriority w:val="1"/>
    <w:qFormat/>
    <w:pPr>
      <w:ind w:firstLineChars="200" w:firstLine="420"/>
    </w:pPr>
    <w:rPr>
      <w:szCs w:val="20"/>
    </w:rPr>
  </w:style>
  <w:style w:type="character" w:customStyle="1" w:styleId="Chare">
    <w:name w:val="批注主题 Char"/>
    <w:uiPriority w:val="99"/>
    <w:rPr>
      <w:rFonts w:eastAsia="宋体"/>
      <w:b/>
      <w:bCs/>
      <w:kern w:val="2"/>
      <w:sz w:val="21"/>
      <w:szCs w:val="24"/>
      <w:lang w:val="en-US" w:eastAsia="zh-CN" w:bidi="ar-SA"/>
    </w:rPr>
  </w:style>
  <w:style w:type="character" w:customStyle="1" w:styleId="2f1">
    <w:name w:val="标题 字符2"/>
    <w:uiPriority w:val="10"/>
    <w:rPr>
      <w:rFonts w:ascii="@PMingLiU" w:eastAsia="@PMingLiU" w:hAnsi="@PMingLiU" w:cs="Verdana"/>
      <w:b/>
      <w:bCs/>
      <w:sz w:val="32"/>
      <w:szCs w:val="32"/>
    </w:rPr>
  </w:style>
  <w:style w:type="character" w:customStyle="1" w:styleId="affd">
    <w:name w:val="页眉 字符"/>
    <w:uiPriority w:val="99"/>
    <w:rPr>
      <w:sz w:val="18"/>
      <w:szCs w:val="18"/>
    </w:rPr>
  </w:style>
  <w:style w:type="character" w:customStyle="1" w:styleId="2f2">
    <w:name w:val="日期 字符2"/>
    <w:uiPriority w:val="99"/>
    <w:semiHidden/>
    <w:rPr>
      <w:rFonts w:ascii="Verdana" w:eastAsia="Courier New" w:hAnsi="Verdana" w:cs="Verdana"/>
      <w:szCs w:val="24"/>
    </w:rPr>
  </w:style>
  <w:style w:type="character" w:customStyle="1" w:styleId="3b">
    <w:name w:val="标题 3 字符"/>
    <w:rPr>
      <w:rFonts w:ascii="Verdana" w:eastAsia="Courier New" w:hAnsi="Verdana" w:cs="Verdana"/>
      <w:b/>
      <w:bCs/>
      <w:sz w:val="32"/>
      <w:szCs w:val="32"/>
    </w:rPr>
  </w:style>
  <w:style w:type="character" w:customStyle="1" w:styleId="HTML0">
    <w:name w:val="HTML 预设格式 字符"/>
    <w:uiPriority w:val="99"/>
    <w:rPr>
      <w:rFonts w:ascii="Times" w:hAnsi="Times" w:cs="Times"/>
      <w:kern w:val="2"/>
    </w:rPr>
  </w:style>
  <w:style w:type="character" w:customStyle="1" w:styleId="46">
    <w:name w:val="标题 4 字符"/>
    <w:rPr>
      <w:rFonts w:ascii="@PMingLiU" w:eastAsia="@PMingLiU" w:hAnsi="@PMingLiU" w:cs="Verdana"/>
      <w:b/>
      <w:bCs/>
      <w:sz w:val="28"/>
      <w:szCs w:val="28"/>
    </w:rPr>
  </w:style>
  <w:style w:type="character" w:customStyle="1" w:styleId="2f3">
    <w:name w:val="正文文本缩进 字符2"/>
    <w:uiPriority w:val="99"/>
    <w:semiHidden/>
    <w:rPr>
      <w:rFonts w:ascii="Verdana" w:eastAsia="Courier New" w:hAnsi="Verdana" w:cs="Verdana"/>
      <w:szCs w:val="24"/>
    </w:rPr>
  </w:style>
  <w:style w:type="character" w:customStyle="1" w:styleId="72">
    <w:name w:val="标题 7 字符"/>
    <w:rPr>
      <w:rFonts w:ascii="Verdana" w:eastAsia="Courier New" w:hAnsi="Verdana" w:cs="Verdana"/>
      <w:b/>
      <w:bCs/>
      <w:sz w:val="24"/>
      <w:szCs w:val="24"/>
    </w:rPr>
  </w:style>
  <w:style w:type="character" w:customStyle="1" w:styleId="322">
    <w:name w:val="正文文本 3 字符2"/>
    <w:uiPriority w:val="99"/>
    <w:semiHidden/>
    <w:rPr>
      <w:rFonts w:ascii="Verdana" w:eastAsia="Courier New" w:hAnsi="Verdana" w:cs="Verdana"/>
      <w:sz w:val="16"/>
      <w:szCs w:val="16"/>
    </w:rPr>
  </w:style>
  <w:style w:type="character" w:customStyle="1" w:styleId="90">
    <w:name w:val="标题 9 字符"/>
    <w:rPr>
      <w:rFonts w:ascii="@PMingLiU" w:eastAsia="@PMingLiU" w:hAnsi="@PMingLiU" w:cs="Verdana"/>
      <w:szCs w:val="21"/>
    </w:rPr>
  </w:style>
  <w:style w:type="character" w:customStyle="1" w:styleId="2f4">
    <w:name w:val="正文文本 2 字符"/>
    <w:uiPriority w:val="99"/>
    <w:qFormat/>
    <w:rPr>
      <w:kern w:val="2"/>
      <w:sz w:val="21"/>
      <w:szCs w:val="24"/>
    </w:rPr>
  </w:style>
  <w:style w:type="character" w:customStyle="1" w:styleId="2Char10">
    <w:name w:val="正文文本缩进 2 Char1"/>
    <w:rPr>
      <w:kern w:val="2"/>
      <w:sz w:val="21"/>
      <w:szCs w:val="24"/>
    </w:rPr>
  </w:style>
  <w:style w:type="character" w:customStyle="1" w:styleId="5Char">
    <w:name w:val="标题 5 Char"/>
    <w:uiPriority w:val="9"/>
    <w:qFormat/>
    <w:rPr>
      <w:b/>
      <w:bCs/>
      <w:kern w:val="2"/>
      <w:sz w:val="28"/>
      <w:szCs w:val="28"/>
    </w:rPr>
  </w:style>
  <w:style w:type="character" w:customStyle="1" w:styleId="1f7">
    <w:name w:val="批注文字 字符1"/>
    <w:rPr>
      <w:rFonts w:ascii="Verdana" w:hAnsi="Verdana"/>
      <w:kern w:val="2"/>
      <w:sz w:val="21"/>
      <w:szCs w:val="24"/>
    </w:rPr>
  </w:style>
  <w:style w:type="character" w:customStyle="1" w:styleId="law-parenthese">
    <w:name w:val="law-parenthese"/>
  </w:style>
  <w:style w:type="character" w:customStyle="1" w:styleId="font11">
    <w:name w:val="font11"/>
    <w:rPr>
      <w:rFonts w:ascii="Courier New" w:eastAsia="Courier New" w:hAnsi="Courier New" w:cs="Courier New" w:hint="eastAsia"/>
      <w:b/>
      <w:color w:val="000000"/>
      <w:sz w:val="20"/>
      <w:szCs w:val="20"/>
      <w:u w:val="none"/>
    </w:rPr>
  </w:style>
  <w:style w:type="character" w:customStyle="1" w:styleId="9Char">
    <w:name w:val="标题 9 Char"/>
    <w:rPr>
      <w:rFonts w:ascii="华文细黑" w:hAnsi="华文细黑"/>
      <w:b/>
      <w:smallCaps/>
      <w:sz w:val="21"/>
      <w:lang w:val="en-GB"/>
    </w:rPr>
  </w:style>
  <w:style w:type="character" w:customStyle="1" w:styleId="3c">
    <w:name w:val="正文文本缩进 3 字符"/>
    <w:rPr>
      <w:kern w:val="2"/>
      <w:sz w:val="16"/>
      <w:szCs w:val="16"/>
    </w:rPr>
  </w:style>
  <w:style w:type="character" w:customStyle="1" w:styleId="Charf">
    <w:name w:val="页脚 Char"/>
    <w:uiPriority w:val="99"/>
    <w:rPr>
      <w:rFonts w:eastAsia="宋体"/>
      <w:kern w:val="2"/>
      <w:sz w:val="18"/>
      <w:szCs w:val="18"/>
      <w:lang w:val="en-US" w:eastAsia="zh-CN" w:bidi="ar-SA"/>
    </w:rPr>
  </w:style>
  <w:style w:type="character" w:customStyle="1" w:styleId="3Char11">
    <w:name w:val="正文文本缩进 3 Char1"/>
    <w:rPr>
      <w:kern w:val="2"/>
      <w:sz w:val="16"/>
      <w:szCs w:val="16"/>
    </w:rPr>
  </w:style>
  <w:style w:type="character" w:customStyle="1" w:styleId="search-in-page-highlight-wrapper">
    <w:name w:val="search-in-page-highlight-wrapper"/>
  </w:style>
  <w:style w:type="character" w:customStyle="1" w:styleId="2f5">
    <w:name w:val="正文文本缩进 2 字符"/>
    <w:rPr>
      <w:kern w:val="2"/>
      <w:sz w:val="21"/>
      <w:szCs w:val="24"/>
    </w:rPr>
  </w:style>
  <w:style w:type="character" w:styleId="affe">
    <w:name w:val="Placeholder Text"/>
    <w:uiPriority w:val="99"/>
    <w:unhideWhenUsed/>
    <w:qFormat/>
    <w:rPr>
      <w:color w:val="808080"/>
    </w:rPr>
  </w:style>
  <w:style w:type="character" w:customStyle="1" w:styleId="font131">
    <w:name w:val="font131"/>
    <w:rPr>
      <w:rFonts w:ascii="Courier New" w:eastAsia="Courier New" w:hAnsi="Courier New" w:cs="Courier New" w:hint="eastAsia"/>
      <w:color w:val="000000"/>
      <w:sz w:val="21"/>
      <w:szCs w:val="21"/>
      <w:u w:val="none"/>
    </w:rPr>
  </w:style>
  <w:style w:type="paragraph" w:customStyle="1" w:styleId="2f6">
    <w:name w:val="专用标题2"/>
    <w:basedOn w:val="2"/>
    <w:next w:val="a0"/>
    <w:pPr>
      <w:keepNext w:val="0"/>
      <w:keepLines w:val="0"/>
      <w:widowControl/>
      <w:tabs>
        <w:tab w:val="left" w:pos="993"/>
      </w:tabs>
      <w:adjustRightInd w:val="0"/>
      <w:snapToGrid w:val="0"/>
      <w:spacing w:before="0" w:afterLines="50" w:after="120"/>
    </w:pPr>
    <w:rPr>
      <w:rFonts w:ascii="Courier New" w:eastAsia="Courier New" w:hAnsi="Courier New" w:cs="等线 Light"/>
      <w:bCs w:val="0"/>
      <w:kern w:val="0"/>
      <w:sz w:val="28"/>
      <w:szCs w:val="20"/>
    </w:rPr>
  </w:style>
  <w:style w:type="paragraph" w:customStyle="1" w:styleId="ParaChar">
    <w:name w:val="默认段落字体 Para Char"/>
    <w:basedOn w:val="a0"/>
    <w:pPr>
      <w:spacing w:line="360" w:lineRule="auto"/>
    </w:pPr>
    <w:rPr>
      <w:szCs w:val="20"/>
    </w:rPr>
  </w:style>
  <w:style w:type="paragraph" w:customStyle="1" w:styleId="710">
    <w:name w:val="目录 71"/>
    <w:basedOn w:val="a0"/>
    <w:next w:val="a0"/>
    <w:uiPriority w:val="39"/>
    <w:pPr>
      <w:ind w:left="1260"/>
      <w:jc w:val="left"/>
    </w:pPr>
    <w:rPr>
      <w:sz w:val="18"/>
      <w:szCs w:val="18"/>
    </w:rPr>
  </w:style>
  <w:style w:type="paragraph" w:customStyle="1" w:styleId="510">
    <w:name w:val="目录 51"/>
    <w:basedOn w:val="a0"/>
    <w:next w:val="a0"/>
    <w:uiPriority w:val="39"/>
    <w:pPr>
      <w:ind w:left="840"/>
      <w:jc w:val="left"/>
    </w:pPr>
    <w:rPr>
      <w:sz w:val="18"/>
      <w:szCs w:val="18"/>
    </w:rPr>
  </w:style>
  <w:style w:type="paragraph" w:customStyle="1" w:styleId="910">
    <w:name w:val="目录 91"/>
    <w:basedOn w:val="a0"/>
    <w:next w:val="a0"/>
    <w:uiPriority w:val="39"/>
    <w:pPr>
      <w:ind w:left="1680"/>
      <w:jc w:val="left"/>
    </w:pPr>
    <w:rPr>
      <w:sz w:val="18"/>
      <w:szCs w:val="18"/>
    </w:rPr>
  </w:style>
  <w:style w:type="paragraph" w:customStyle="1" w:styleId="Charf0">
    <w:name w:val="Char"/>
    <w:basedOn w:val="a0"/>
    <w:pPr>
      <w:widowControl/>
      <w:spacing w:after="160" w:line="240" w:lineRule="exact"/>
      <w:jc w:val="left"/>
    </w:pPr>
    <w:rPr>
      <w:rFonts w:ascii="Courier New" w:hAnsi="Courier New"/>
      <w:kern w:val="0"/>
      <w:szCs w:val="20"/>
      <w:lang w:eastAsia="en-US"/>
    </w:rPr>
  </w:style>
  <w:style w:type="paragraph" w:customStyle="1" w:styleId="47">
    <w:name w:val="通用标题4"/>
    <w:next w:val="a0"/>
    <w:pPr>
      <w:tabs>
        <w:tab w:val="left" w:pos="851"/>
      </w:tabs>
      <w:adjustRightInd w:val="0"/>
      <w:snapToGrid w:val="0"/>
      <w:spacing w:afterLines="50" w:after="120" w:line="360" w:lineRule="auto"/>
      <w:ind w:left="2126"/>
      <w:jc w:val="both"/>
      <w:outlineLvl w:val="3"/>
    </w:pPr>
    <w:rPr>
      <w:rFonts w:ascii="Courier New" w:hAnsi="Courier New"/>
      <w:kern w:val="2"/>
      <w:sz w:val="24"/>
      <w:szCs w:val="21"/>
    </w:rPr>
  </w:style>
  <w:style w:type="paragraph" w:customStyle="1" w:styleId="Style76">
    <w:name w:val="_Style 76"/>
    <w:next w:val="a0"/>
    <w:uiPriority w:val="99"/>
    <w:pPr>
      <w:widowControl w:val="0"/>
      <w:jc w:val="both"/>
    </w:pPr>
    <w:rPr>
      <w:kern w:val="2"/>
      <w:sz w:val="21"/>
      <w:szCs w:val="24"/>
    </w:rPr>
  </w:style>
  <w:style w:type="paragraph" w:customStyle="1" w:styleId="Other1">
    <w:name w:val="Other|1"/>
    <w:basedOn w:val="a0"/>
    <w:pPr>
      <w:jc w:val="center"/>
    </w:pPr>
    <w:rPr>
      <w:sz w:val="22"/>
      <w:szCs w:val="22"/>
      <w:lang w:val="zh-TW" w:eastAsia="zh-TW" w:bidi="zh-TW"/>
    </w:rPr>
  </w:style>
  <w:style w:type="paragraph" w:customStyle="1" w:styleId="xl70">
    <w:name w:val="xl7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FF0000"/>
      <w:kern w:val="0"/>
      <w:sz w:val="24"/>
    </w:rPr>
  </w:style>
  <w:style w:type="paragraph" w:customStyle="1" w:styleId="214">
    <w:name w:val="目录 21"/>
    <w:basedOn w:val="a0"/>
    <w:next w:val="a0"/>
    <w:uiPriority w:val="39"/>
    <w:pPr>
      <w:ind w:left="210"/>
      <w:jc w:val="left"/>
    </w:pPr>
    <w:rPr>
      <w:smallCaps/>
      <w:sz w:val="20"/>
      <w:szCs w:val="20"/>
    </w:rPr>
  </w:style>
  <w:style w:type="paragraph" w:customStyle="1" w:styleId="21">
    <w:name w:val="协议书标题2"/>
    <w:basedOn w:val="2"/>
    <w:next w:val="a0"/>
    <w:pPr>
      <w:keepNext w:val="0"/>
      <w:keepLines w:val="0"/>
      <w:widowControl/>
      <w:numPr>
        <w:ilvl w:val="0"/>
        <w:numId w:val="3"/>
      </w:numPr>
      <w:tabs>
        <w:tab w:val="left" w:pos="567"/>
      </w:tabs>
      <w:wordWrap w:val="0"/>
      <w:topLinePunct/>
      <w:adjustRightInd w:val="0"/>
      <w:snapToGrid w:val="0"/>
      <w:spacing w:before="0" w:afterLines="50" w:after="120"/>
      <w:ind w:firstLine="0"/>
      <w:jc w:val="left"/>
    </w:pPr>
    <w:rPr>
      <w:rFonts w:ascii="Courier New" w:eastAsia="Courier New" w:hAnsi="Courier New"/>
      <w:bCs w:val="0"/>
      <w:kern w:val="0"/>
      <w:sz w:val="24"/>
      <w:szCs w:val="20"/>
    </w:rPr>
  </w:style>
  <w:style w:type="paragraph" w:customStyle="1" w:styleId="411">
    <w:name w:val="目录 41"/>
    <w:basedOn w:val="a0"/>
    <w:next w:val="a0"/>
    <w:uiPriority w:val="39"/>
    <w:pPr>
      <w:ind w:left="630"/>
      <w:jc w:val="left"/>
    </w:pPr>
    <w:rPr>
      <w:sz w:val="18"/>
      <w:szCs w:val="18"/>
    </w:rPr>
  </w:style>
  <w:style w:type="paragraph" w:customStyle="1" w:styleId="reader-word-layerreader-word-s4-7">
    <w:name w:val="reader-word-layer reader-word-s4-7"/>
    <w:basedOn w:val="a0"/>
    <w:pPr>
      <w:widowControl/>
      <w:spacing w:before="100" w:beforeAutospacing="1" w:after="100" w:afterAutospacing="1"/>
      <w:jc w:val="left"/>
    </w:pPr>
    <w:rPr>
      <w:rFonts w:ascii="Courier New" w:hAnsi="Courier New" w:cs="Courier New"/>
      <w:kern w:val="0"/>
      <w:sz w:val="24"/>
    </w:rPr>
  </w:style>
  <w:style w:type="paragraph" w:customStyle="1" w:styleId="40">
    <w:name w:val="专用标题4"/>
    <w:basedOn w:val="4"/>
    <w:next w:val="a0"/>
    <w:pPr>
      <w:widowControl/>
      <w:numPr>
        <w:ilvl w:val="2"/>
        <w:numId w:val="4"/>
      </w:numPr>
      <w:adjustRightInd w:val="0"/>
      <w:snapToGrid w:val="0"/>
      <w:spacing w:before="0" w:after="0"/>
      <w:jc w:val="left"/>
    </w:pPr>
    <w:rPr>
      <w:rFonts w:eastAsia="Courier New"/>
      <w:b/>
      <w:bCs w:val="0"/>
      <w:szCs w:val="22"/>
    </w:rPr>
  </w:style>
  <w:style w:type="paragraph" w:customStyle="1" w:styleId="2TimesNewRoman5020">
    <w:name w:val="样式 标题 2 + Times New Roman 四号 非加粗 段前: 5 磅 段后: 0 磅 行距: 固定值 20..."/>
    <w:basedOn w:val="2"/>
    <w:pPr>
      <w:spacing w:before="100" w:after="0" w:line="400" w:lineRule="exact"/>
    </w:pPr>
    <w:rPr>
      <w:rFonts w:ascii="Verdana" w:hAnsi="Verdana" w:cs="Courier New"/>
      <w:b w:val="0"/>
      <w:bCs w:val="0"/>
      <w:sz w:val="28"/>
      <w:szCs w:val="20"/>
    </w:rPr>
  </w:style>
  <w:style w:type="paragraph" w:customStyle="1" w:styleId="a">
    <w:name w:val="附件标题"/>
    <w:basedOn w:val="2"/>
    <w:next w:val="a0"/>
    <w:pPr>
      <w:widowControl/>
      <w:numPr>
        <w:ilvl w:val="0"/>
        <w:numId w:val="5"/>
      </w:numPr>
      <w:tabs>
        <w:tab w:val="left" w:pos="1134"/>
      </w:tabs>
      <w:wordWrap w:val="0"/>
      <w:topLinePunct/>
      <w:adjustRightInd w:val="0"/>
      <w:snapToGrid w:val="0"/>
      <w:spacing w:before="0" w:afterLines="50" w:after="120"/>
      <w:jc w:val="center"/>
    </w:pPr>
    <w:rPr>
      <w:rFonts w:ascii="Calibri Light" w:hAnsi="Calibri Light"/>
      <w:bCs w:val="0"/>
      <w:kern w:val="0"/>
      <w:szCs w:val="30"/>
    </w:rPr>
  </w:style>
  <w:style w:type="paragraph" w:customStyle="1" w:styleId="1f8">
    <w:name w:val="修订1"/>
    <w:rPr>
      <w:kern w:val="2"/>
      <w:sz w:val="21"/>
      <w:szCs w:val="24"/>
    </w:rPr>
  </w:style>
  <w:style w:type="paragraph" w:customStyle="1" w:styleId="Char17">
    <w:name w:val="Char1"/>
    <w:basedOn w:val="a0"/>
    <w:pPr>
      <w:tabs>
        <w:tab w:val="left" w:pos="360"/>
      </w:tabs>
    </w:pPr>
    <w:rPr>
      <w:sz w:val="24"/>
    </w:rPr>
  </w:style>
  <w:style w:type="paragraph" w:customStyle="1" w:styleId="31">
    <w:name w:val="样式3"/>
    <w:next w:val="a0"/>
    <w:pPr>
      <w:numPr>
        <w:ilvl w:val="2"/>
        <w:numId w:val="6"/>
      </w:numPr>
    </w:pPr>
    <w:rPr>
      <w:bCs/>
      <w:kern w:val="2"/>
      <w:sz w:val="24"/>
      <w:szCs w:val="24"/>
    </w:rPr>
  </w:style>
  <w:style w:type="paragraph" w:customStyle="1" w:styleId="1f9">
    <w:name w:val="日期1"/>
    <w:basedOn w:val="a0"/>
    <w:next w:val="a0"/>
    <w:rPr>
      <w:rFonts w:ascii="Courier New"/>
      <w:kern w:val="0"/>
      <w:sz w:val="20"/>
      <w:szCs w:val="20"/>
    </w:rPr>
  </w:style>
  <w:style w:type="paragraph" w:customStyle="1" w:styleId="111">
    <w:name w:val="修订11"/>
    <w:uiPriority w:val="99"/>
    <w:semiHidden/>
    <w:qFormat/>
    <w:rPr>
      <w:rFonts w:ascii="Courier New" w:hAnsi="CG Times"/>
      <w:kern w:val="2"/>
      <w:sz w:val="24"/>
      <w:szCs w:val="22"/>
    </w:rPr>
  </w:style>
  <w:style w:type="paragraph" w:customStyle="1" w:styleId="7">
    <w:name w:val="通用标题7"/>
    <w:basedOn w:val="a0"/>
    <w:pPr>
      <w:widowControl/>
      <w:numPr>
        <w:ilvl w:val="5"/>
        <w:numId w:val="7"/>
      </w:numPr>
      <w:wordWrap w:val="0"/>
      <w:topLinePunct/>
      <w:adjustRightInd w:val="0"/>
      <w:snapToGrid w:val="0"/>
      <w:spacing w:afterLines="50" w:after="120" w:line="360" w:lineRule="auto"/>
      <w:ind w:firstLineChars="200" w:firstLine="200"/>
    </w:pPr>
    <w:rPr>
      <w:rFonts w:ascii="Courier New" w:hAnsi="Courier New"/>
      <w:kern w:val="0"/>
      <w:sz w:val="24"/>
      <w:szCs w:val="20"/>
    </w:rPr>
  </w:style>
  <w:style w:type="paragraph" w:customStyle="1" w:styleId="1fa">
    <w:name w:val="列出段落1"/>
    <w:basedOn w:val="a0"/>
    <w:uiPriority w:val="34"/>
    <w:pPr>
      <w:widowControl/>
      <w:adjustRightInd w:val="0"/>
      <w:snapToGrid w:val="0"/>
      <w:spacing w:after="200"/>
      <w:ind w:firstLineChars="200" w:firstLine="420"/>
      <w:jc w:val="left"/>
    </w:pPr>
    <w:rPr>
      <w:rFonts w:ascii="Calibri" w:eastAsia="仿宋_GB2312" w:hAnsi="Calibri"/>
      <w:kern w:val="0"/>
      <w:sz w:val="22"/>
      <w:szCs w:val="22"/>
    </w:rPr>
  </w:style>
  <w:style w:type="paragraph" w:customStyle="1" w:styleId="font6">
    <w:name w:val="font6"/>
    <w:basedOn w:val="a0"/>
    <w:pPr>
      <w:widowControl/>
      <w:spacing w:before="100" w:beforeAutospacing="1" w:after="100" w:afterAutospacing="1"/>
      <w:jc w:val="left"/>
    </w:pPr>
    <w:rPr>
      <w:rFonts w:ascii="Courier New" w:hAnsi="Courier New" w:cs="Courier New"/>
      <w:kern w:val="0"/>
      <w:sz w:val="18"/>
      <w:szCs w:val="18"/>
    </w:rPr>
  </w:style>
  <w:style w:type="paragraph" w:customStyle="1" w:styleId="afff">
    <w:name w:val="小标题"/>
    <w:pPr>
      <w:tabs>
        <w:tab w:val="left" w:pos="993"/>
      </w:tabs>
      <w:adjustRightInd w:val="0"/>
      <w:snapToGrid w:val="0"/>
    </w:pPr>
    <w:rPr>
      <w:bCs/>
      <w:kern w:val="2"/>
      <w:sz w:val="24"/>
      <w:szCs w:val="22"/>
    </w:rPr>
  </w:style>
  <w:style w:type="paragraph" w:customStyle="1" w:styleId="112">
    <w:name w:val="目录 11"/>
    <w:basedOn w:val="a0"/>
    <w:next w:val="a0"/>
    <w:uiPriority w:val="39"/>
    <w:pPr>
      <w:spacing w:before="120" w:after="120"/>
      <w:jc w:val="left"/>
    </w:pPr>
    <w:rPr>
      <w:b/>
      <w:bCs/>
      <w:caps/>
      <w:sz w:val="20"/>
      <w:szCs w:val="20"/>
    </w:rPr>
  </w:style>
  <w:style w:type="paragraph" w:customStyle="1" w:styleId="378020">
    <w:name w:val="样式 标题 3 + (中文) 黑体 小四 非加粗 段前: 7.8 磅 段后: 0 磅 行距: 固定值 20 磅"/>
    <w:basedOn w:val="3"/>
    <w:pPr>
      <w:spacing w:before="0" w:after="0" w:line="400" w:lineRule="exact"/>
    </w:pPr>
    <w:rPr>
      <w:rFonts w:eastAsia="Calibri Light" w:cs="Courier New"/>
      <w:bCs w:val="0"/>
      <w:sz w:val="24"/>
      <w:szCs w:val="20"/>
    </w:rPr>
  </w:style>
  <w:style w:type="paragraph" w:customStyle="1" w:styleId="810">
    <w:name w:val="目录 81"/>
    <w:basedOn w:val="a0"/>
    <w:next w:val="a0"/>
    <w:uiPriority w:val="39"/>
    <w:pPr>
      <w:ind w:left="1470"/>
      <w:jc w:val="left"/>
    </w:pPr>
    <w:rPr>
      <w:sz w:val="18"/>
      <w:szCs w:val="18"/>
    </w:rPr>
  </w:style>
  <w:style w:type="paragraph" w:customStyle="1" w:styleId="1fb">
    <w:name w:val="1"/>
    <w:basedOn w:val="a0"/>
  </w:style>
  <w:style w:type="paragraph" w:customStyle="1" w:styleId="CharCharCharCharCharCharCharCharCharCharCharCharChar">
    <w:name w:val="Char Char Char Char Char Char Char Char Char Char Char Char Char"/>
    <w:basedOn w:val="a0"/>
    <w:rPr>
      <w:rFonts w:ascii="Courier New" w:hAnsi="Courier New"/>
      <w:sz w:val="24"/>
    </w:rPr>
  </w:style>
  <w:style w:type="paragraph" w:customStyle="1" w:styleId="313">
    <w:name w:val="目录 31"/>
    <w:basedOn w:val="a0"/>
    <w:next w:val="a0"/>
    <w:uiPriority w:val="39"/>
    <w:pPr>
      <w:ind w:left="420"/>
      <w:jc w:val="left"/>
    </w:pPr>
    <w:rPr>
      <w:iCs/>
      <w:sz w:val="20"/>
      <w:szCs w:val="20"/>
    </w:rPr>
  </w:style>
  <w:style w:type="paragraph" w:customStyle="1" w:styleId="610">
    <w:name w:val="目录 61"/>
    <w:basedOn w:val="a0"/>
    <w:next w:val="a0"/>
    <w:uiPriority w:val="39"/>
    <w:pPr>
      <w:ind w:left="1050"/>
      <w:jc w:val="left"/>
    </w:pPr>
    <w:rPr>
      <w:sz w:val="18"/>
      <w:szCs w:val="18"/>
    </w:rPr>
  </w:style>
  <w:style w:type="paragraph" w:customStyle="1" w:styleId="3d">
    <w:name w:val="通用标题3"/>
    <w:next w:val="a0"/>
    <w:pPr>
      <w:widowControl w:val="0"/>
      <w:tabs>
        <w:tab w:val="left" w:pos="851"/>
      </w:tabs>
      <w:adjustRightInd w:val="0"/>
      <w:snapToGrid w:val="0"/>
      <w:spacing w:afterLines="50" w:after="120" w:line="360" w:lineRule="auto"/>
      <w:ind w:left="1843"/>
      <w:jc w:val="both"/>
      <w:outlineLvl w:val="2"/>
    </w:pPr>
    <w:rPr>
      <w:rFonts w:ascii="Calibri Light" w:eastAsia="Calibri Light" w:hAnsi="Calibri Light"/>
      <w:b/>
      <w:kern w:val="2"/>
      <w:sz w:val="24"/>
      <w:szCs w:val="24"/>
    </w:rPr>
  </w:style>
  <w:style w:type="paragraph" w:customStyle="1" w:styleId="30">
    <w:name w:val="专用标题3"/>
    <w:basedOn w:val="3"/>
    <w:pPr>
      <w:widowControl/>
      <w:numPr>
        <w:ilvl w:val="1"/>
        <w:numId w:val="4"/>
      </w:numPr>
      <w:wordWrap w:val="0"/>
      <w:topLinePunct/>
      <w:adjustRightInd w:val="0"/>
      <w:snapToGrid w:val="0"/>
      <w:spacing w:before="0" w:afterLines="50" w:after="120" w:line="360" w:lineRule="auto"/>
      <w:jc w:val="left"/>
    </w:pPr>
    <w:rPr>
      <w:rFonts w:ascii="Courier New" w:eastAsia="Courier New"/>
      <w:b/>
      <w:bCs w:val="0"/>
      <w:kern w:val="0"/>
      <w:sz w:val="24"/>
      <w:szCs w:val="20"/>
    </w:rPr>
  </w:style>
  <w:style w:type="paragraph" w:customStyle="1" w:styleId="2f7">
    <w:name w:val="样式2"/>
    <w:basedOn w:val="3"/>
    <w:rPr>
      <w:i/>
    </w:rPr>
  </w:style>
  <w:style w:type="paragraph" w:customStyle="1" w:styleId="63">
    <w:name w:val="6'"/>
    <w:basedOn w:val="a0"/>
    <w:pPr>
      <w:autoSpaceDE w:val="0"/>
      <w:autoSpaceDN w:val="0"/>
      <w:adjustRightInd w:val="0"/>
      <w:snapToGrid w:val="0"/>
      <w:spacing w:line="320" w:lineRule="exact"/>
      <w:jc w:val="center"/>
      <w:textAlignment w:val="baseline"/>
    </w:pPr>
    <w:rPr>
      <w:spacing w:val="20"/>
      <w:kern w:val="28"/>
      <w:szCs w:val="20"/>
    </w:rPr>
  </w:style>
  <w:style w:type="paragraph" w:customStyle="1" w:styleId="2f8">
    <w:name w:val="封面2"/>
    <w:pPr>
      <w:jc w:val="center"/>
    </w:pPr>
    <w:rPr>
      <w:sz w:val="28"/>
    </w:rPr>
  </w:style>
  <w:style w:type="paragraph" w:customStyle="1" w:styleId="afff0">
    <w:name w:val="表格"/>
    <w:basedOn w:val="a0"/>
    <w:pPr>
      <w:jc w:val="center"/>
      <w:textAlignment w:val="center"/>
    </w:pPr>
    <w:rPr>
      <w:rFonts w:ascii="Cambria Math" w:hAnsi="Cambria Math"/>
      <w:kern w:val="0"/>
      <w:szCs w:val="20"/>
    </w:rPr>
  </w:style>
  <w:style w:type="paragraph" w:customStyle="1" w:styleId="Char21">
    <w:name w:val="Char2"/>
    <w:basedOn w:val="a0"/>
    <w:pPr>
      <w:tabs>
        <w:tab w:val="left" w:pos="360"/>
      </w:tabs>
    </w:pPr>
    <w:rPr>
      <w:sz w:val="24"/>
    </w:rPr>
  </w:style>
  <w:style w:type="paragraph" w:customStyle="1" w:styleId="Default">
    <w:name w:val="Default"/>
    <w:pPr>
      <w:widowControl w:val="0"/>
      <w:autoSpaceDE w:val="0"/>
      <w:autoSpaceDN w:val="0"/>
      <w:adjustRightInd w:val="0"/>
    </w:pPr>
    <w:rPr>
      <w:rFonts w:ascii="Courier New" w:hAnsi="CG Times" w:cs="Courier New"/>
      <w:color w:val="000000"/>
      <w:sz w:val="24"/>
      <w:szCs w:val="24"/>
    </w:rPr>
  </w:style>
  <w:style w:type="paragraph" w:customStyle="1" w:styleId="16620">
    <w:name w:val="样式 标题 1 + 黑体 三号 非加粗 居中 段前: 6 磅 段后: 6 磅 行距: 固定值 20 磅"/>
    <w:basedOn w:val="10"/>
    <w:pPr>
      <w:spacing w:before="120" w:after="120"/>
      <w:jc w:val="center"/>
    </w:pPr>
    <w:rPr>
      <w:rFonts w:ascii="Calibri Light" w:eastAsia="Calibri Light" w:hAnsi="Calibri Light" w:cs="Courier New"/>
      <w:b w:val="0"/>
      <w:bCs w:val="0"/>
      <w:sz w:val="32"/>
      <w:szCs w:val="20"/>
    </w:rPr>
  </w:style>
  <w:style w:type="paragraph" w:customStyle="1" w:styleId="afff1">
    <w:name w:val="表格文字"/>
    <w:basedOn w:val="a0"/>
    <w:pPr>
      <w:adjustRightInd w:val="0"/>
      <w:spacing w:line="420" w:lineRule="atLeast"/>
      <w:jc w:val="left"/>
      <w:textAlignment w:val="baseline"/>
    </w:pPr>
    <w:rPr>
      <w:kern w:val="0"/>
      <w:szCs w:val="20"/>
    </w:rPr>
  </w:style>
  <w:style w:type="paragraph" w:customStyle="1" w:styleId="CM48">
    <w:name w:val="CM48"/>
    <w:basedOn w:val="Default"/>
    <w:next w:val="Default"/>
    <w:uiPriority w:val="99"/>
    <w:pPr>
      <w:spacing w:line="540" w:lineRule="atLeast"/>
    </w:pPr>
    <w:rPr>
      <w:color w:val="auto"/>
    </w:rPr>
  </w:style>
  <w:style w:type="paragraph" w:customStyle="1" w:styleId="CM104">
    <w:name w:val="CM104"/>
    <w:basedOn w:val="Default"/>
    <w:next w:val="Default"/>
    <w:uiPriority w:val="99"/>
    <w:pPr>
      <w:spacing w:after="1318"/>
    </w:pPr>
    <w:rPr>
      <w:color w:val="auto"/>
    </w:rPr>
  </w:style>
  <w:style w:type="paragraph" w:customStyle="1" w:styleId="xl68">
    <w:name w:val="xl68"/>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FF0000"/>
      <w:kern w:val="0"/>
      <w:sz w:val="24"/>
    </w:rPr>
  </w:style>
  <w:style w:type="paragraph" w:customStyle="1" w:styleId="font5">
    <w:name w:val="font5"/>
    <w:basedOn w:val="a0"/>
    <w:qFormat/>
    <w:pPr>
      <w:widowControl/>
      <w:spacing w:before="100" w:beforeAutospacing="1" w:after="100" w:afterAutospacing="1"/>
      <w:jc w:val="left"/>
    </w:pPr>
    <w:rPr>
      <w:rFonts w:ascii="Courier New" w:hAnsi="Courier New" w:cs="Courier New"/>
      <w:color w:val="FF0000"/>
      <w:kern w:val="0"/>
      <w:sz w:val="22"/>
      <w:szCs w:val="22"/>
    </w:rPr>
  </w:style>
  <w:style w:type="paragraph" w:customStyle="1" w:styleId="reader-word-layerreader-word-s1-11">
    <w:name w:val="reader-word-layer reader-word-s1-11"/>
    <w:basedOn w:val="a0"/>
    <w:qFormat/>
    <w:pPr>
      <w:widowControl/>
      <w:spacing w:before="100" w:beforeAutospacing="1" w:after="100" w:afterAutospacing="1"/>
      <w:jc w:val="left"/>
    </w:pPr>
    <w:rPr>
      <w:rFonts w:ascii="Courier New" w:hAnsi="Courier New" w:cs="Courier New"/>
      <w:kern w:val="0"/>
      <w:sz w:val="24"/>
    </w:rPr>
  </w:style>
  <w:style w:type="paragraph" w:customStyle="1" w:styleId="TOC2">
    <w:name w:val="TOC 标题2"/>
    <w:basedOn w:val="10"/>
    <w:next w:val="a0"/>
    <w:qFormat/>
    <w:pPr>
      <w:wordWrap w:val="0"/>
      <w:topLinePunct/>
      <w:spacing w:before="260" w:afterLines="50" w:after="260" w:line="413" w:lineRule="auto"/>
      <w:ind w:firstLineChars="200" w:firstLine="480"/>
      <w:jc w:val="center"/>
    </w:pPr>
    <w:rPr>
      <w:rFonts w:ascii="Courier New" w:hAnsi="Courier New"/>
      <w:lang w:val="zh-CN"/>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kern w:val="0"/>
      <w:sz w:val="24"/>
    </w:rPr>
  </w:style>
  <w:style w:type="paragraph" w:customStyle="1" w:styleId="xl65">
    <w:name w:val="xl65"/>
    <w:basedOn w:val="a0"/>
    <w:pPr>
      <w:widowControl/>
      <w:spacing w:before="100" w:beforeAutospacing="1" w:after="100" w:afterAutospacing="1"/>
      <w:jc w:val="center"/>
      <w:textAlignment w:val="center"/>
    </w:pPr>
    <w:rPr>
      <w:rFonts w:ascii="Courier New" w:hAnsi="Courier New" w:cs="Courier New"/>
      <w:kern w:val="0"/>
      <w:sz w:val="24"/>
    </w:rPr>
  </w:style>
  <w:style w:type="paragraph" w:customStyle="1" w:styleId="xl66">
    <w:name w:val="xl66"/>
    <w:basedOn w:val="a0"/>
    <w:pPr>
      <w:widowControl/>
      <w:spacing w:before="100" w:beforeAutospacing="1" w:after="100" w:afterAutospacing="1"/>
      <w:jc w:val="center"/>
      <w:textAlignment w:val="center"/>
    </w:pPr>
    <w:rPr>
      <w:rFonts w:ascii="Courier New" w:hAnsi="Courier New" w:cs="Courier New"/>
      <w:color w:val="FF0000"/>
      <w:kern w:val="0"/>
      <w:sz w:val="24"/>
    </w:rPr>
  </w:style>
  <w:style w:type="paragraph" w:customStyle="1" w:styleId="p0">
    <w:name w:val="p0"/>
    <w:basedOn w:val="a0"/>
    <w:qFormat/>
    <w:pPr>
      <w:widowControl/>
      <w:spacing w:line="273" w:lineRule="auto"/>
      <w:jc w:val="left"/>
    </w:pPr>
    <w:rPr>
      <w:rFonts w:ascii="Courier New" w:hAnsi="Courier New" w:cs="Courier New"/>
      <w:kern w:val="0"/>
      <w:szCs w:val="21"/>
    </w:rPr>
  </w:style>
  <w:style w:type="paragraph" w:customStyle="1" w:styleId="1fc">
    <w:name w:val="标题1"/>
    <w:basedOn w:val="10"/>
    <w:next w:val="a0"/>
    <w:qFormat/>
    <w:pPr>
      <w:outlineLvl w:val="9"/>
    </w:pPr>
    <w:rPr>
      <w:rFonts w:eastAsia="宋体"/>
      <w:sz w:val="32"/>
    </w:rPr>
  </w:style>
  <w:style w:type="paragraph" w:customStyle="1" w:styleId="reader-word-layerreader-word-s1-13">
    <w:name w:val="reader-word-layer reader-word-s1-13"/>
    <w:basedOn w:val="a0"/>
    <w:qFormat/>
    <w:pPr>
      <w:widowControl/>
      <w:spacing w:before="100" w:beforeAutospacing="1" w:after="100" w:afterAutospacing="1"/>
      <w:jc w:val="left"/>
    </w:pPr>
    <w:rPr>
      <w:rFonts w:ascii="Courier New" w:hAnsi="Courier New" w:cs="Courier New"/>
      <w:kern w:val="0"/>
      <w:sz w:val="24"/>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kern w:val="0"/>
      <w:sz w:val="24"/>
    </w:rPr>
  </w:style>
  <w:style w:type="paragraph" w:customStyle="1" w:styleId="HTML10">
    <w:name w:val="HTML 预设格式1"/>
    <w:basedOn w:val="a0"/>
    <w:qFormat/>
    <w:rPr>
      <w:rFonts w:ascii="Times" w:hAnsi="Times"/>
      <w:kern w:val="0"/>
      <w:sz w:val="20"/>
      <w:szCs w:val="20"/>
    </w:rPr>
  </w:style>
  <w:style w:type="paragraph" w:customStyle="1" w:styleId="through-content">
    <w:name w:val="through-content"/>
    <w:basedOn w:val="a0"/>
    <w:pPr>
      <w:widowControl/>
      <w:wordWrap w:val="0"/>
      <w:topLinePunct/>
      <w:spacing w:before="100" w:beforeAutospacing="1" w:after="100" w:afterAutospacing="1"/>
      <w:jc w:val="left"/>
    </w:pPr>
    <w:rPr>
      <w:rFonts w:ascii="Courier New" w:hAnsi="Courier New" w:cs="Courier New"/>
      <w:kern w:val="0"/>
      <w:sz w:val="24"/>
      <w:szCs w:val="20"/>
    </w:rPr>
  </w:style>
  <w:style w:type="paragraph" w:customStyle="1" w:styleId="1fd">
    <w:name w:val="列表段落1"/>
    <w:basedOn w:val="a0"/>
    <w:unhideWhenUsed/>
    <w:qFormat/>
    <w:pPr>
      <w:ind w:firstLineChars="200" w:firstLine="420"/>
    </w:pPr>
  </w:style>
  <w:style w:type="paragraph" w:customStyle="1" w:styleId="MainTitle">
    <w:name w:val="Main Title"/>
    <w:next w:val="a0"/>
    <w:qFormat/>
    <w:pPr>
      <w:adjustRightInd w:val="0"/>
      <w:snapToGrid w:val="0"/>
      <w:spacing w:afterLines="50" w:after="120" w:line="360" w:lineRule="auto"/>
      <w:jc w:val="center"/>
    </w:pPr>
    <w:rPr>
      <w:rFonts w:ascii="Calibri Light" w:eastAsia="Calibri Light" w:hAnsi="Calibri Light"/>
      <w:b/>
      <w:kern w:val="2"/>
      <w:sz w:val="36"/>
      <w:szCs w:val="22"/>
      <w:lang w:val="zh-CN"/>
    </w:rPr>
  </w:style>
  <w:style w:type="paragraph" w:customStyle="1" w:styleId="table">
    <w:name w:val="table"/>
    <w:qFormat/>
    <w:pPr>
      <w:framePr w:hSpace="180" w:wrap="around" w:vAnchor="text" w:hAnchor="margin" w:y="1418"/>
      <w:adjustRightInd w:val="0"/>
      <w:snapToGrid w:val="0"/>
    </w:pPr>
    <w:rPr>
      <w:rFonts w:ascii="Courier New" w:hAnsi="CG Times"/>
      <w:kern w:val="2"/>
      <w:sz w:val="24"/>
      <w:szCs w:val="22"/>
    </w:rPr>
  </w:style>
  <w:style w:type="paragraph" w:customStyle="1" w:styleId="Title4Chinese">
    <w:name w:val="Title 4 Chinese"/>
    <w:pPr>
      <w:ind w:left="1276"/>
    </w:pPr>
    <w:rPr>
      <w:kern w:val="2"/>
      <w:sz w:val="24"/>
      <w:szCs w:val="24"/>
    </w:rPr>
  </w:style>
  <w:style w:type="paragraph" w:customStyle="1" w:styleId="Title5">
    <w:name w:val="Title 5"/>
    <w:next w:val="Title5Chinese"/>
    <w:qFormat/>
    <w:pPr>
      <w:numPr>
        <w:numId w:val="8"/>
      </w:numPr>
      <w:ind w:left="1701" w:hanging="426"/>
      <w:jc w:val="both"/>
    </w:pPr>
    <w:rPr>
      <w:kern w:val="2"/>
      <w:sz w:val="24"/>
      <w:szCs w:val="24"/>
    </w:rPr>
  </w:style>
  <w:style w:type="paragraph" w:customStyle="1" w:styleId="Title5Chinese">
    <w:name w:val="Title 5 Chinese"/>
    <w:qFormat/>
    <w:pPr>
      <w:ind w:left="1701"/>
    </w:pPr>
    <w:rPr>
      <w:kern w:val="2"/>
      <w:sz w:val="24"/>
      <w:szCs w:val="24"/>
    </w:rPr>
  </w:style>
  <w:style w:type="paragraph" w:customStyle="1" w:styleId="Title4">
    <w:name w:val="Title 4"/>
    <w:next w:val="Title4Chinese"/>
    <w:qFormat/>
    <w:pPr>
      <w:numPr>
        <w:numId w:val="9"/>
      </w:numPr>
      <w:ind w:left="1276" w:hanging="562"/>
      <w:jc w:val="both"/>
    </w:pPr>
    <w:rPr>
      <w:kern w:val="2"/>
      <w:sz w:val="24"/>
      <w:szCs w:val="24"/>
    </w:rPr>
  </w:style>
  <w:style w:type="paragraph" w:customStyle="1" w:styleId="64">
    <w:name w:val="通用标题6"/>
    <w:basedOn w:val="a0"/>
    <w:qFormat/>
    <w:pPr>
      <w:widowControl/>
      <w:tabs>
        <w:tab w:val="left" w:pos="993"/>
      </w:tabs>
      <w:adjustRightInd w:val="0"/>
      <w:snapToGrid w:val="0"/>
      <w:spacing w:afterLines="50" w:after="120" w:line="360" w:lineRule="auto"/>
      <w:ind w:left="310"/>
    </w:pPr>
    <w:rPr>
      <w:rFonts w:ascii="Courier New" w:hAnsi="Courier New"/>
      <w:kern w:val="0"/>
      <w:sz w:val="24"/>
      <w:szCs w:val="20"/>
    </w:rPr>
  </w:style>
  <w:style w:type="paragraph" w:customStyle="1" w:styleId="2f9">
    <w:name w:val="缩进2中"/>
    <w:qFormat/>
    <w:pPr>
      <w:ind w:leftChars="295" w:left="708"/>
      <w:jc w:val="both"/>
    </w:pPr>
    <w:rPr>
      <w:rFonts w:ascii="等线 Light" w:hAnsi="等线 Light"/>
      <w:kern w:val="2"/>
      <w:sz w:val="24"/>
      <w:szCs w:val="22"/>
    </w:rPr>
  </w:style>
  <w:style w:type="paragraph" w:customStyle="1" w:styleId="TOC3">
    <w:name w:val="TOC 标题3"/>
    <w:basedOn w:val="10"/>
    <w:next w:val="a0"/>
    <w:uiPriority w:val="39"/>
    <w:unhideWhenUsed/>
    <w:qFormat/>
    <w:pPr>
      <w:widowControl/>
      <w:spacing w:before="480" w:after="0" w:line="276" w:lineRule="auto"/>
      <w:jc w:val="left"/>
      <w:outlineLvl w:val="9"/>
    </w:pPr>
    <w:rPr>
      <w:rFonts w:ascii="微软雅黑" w:hAnsi="微软雅黑"/>
      <w:color w:val="365F91"/>
      <w:kern w:val="0"/>
      <w:sz w:val="28"/>
      <w:szCs w:val="28"/>
    </w:rPr>
  </w:style>
  <w:style w:type="paragraph" w:customStyle="1" w:styleId="1">
    <w:name w:val="附件标题1"/>
    <w:next w:val="a0"/>
    <w:qFormat/>
    <w:pPr>
      <w:numPr>
        <w:numId w:val="10"/>
      </w:numPr>
      <w:tabs>
        <w:tab w:val="left" w:pos="567"/>
      </w:tabs>
      <w:adjustRightInd w:val="0"/>
      <w:snapToGrid w:val="0"/>
      <w:spacing w:afterLines="50" w:after="120" w:line="312" w:lineRule="auto"/>
    </w:pPr>
    <w:rPr>
      <w:rFonts w:ascii="Calibri Light" w:eastAsia="Calibri Light" w:hAnsi="Calibri Light"/>
      <w:b/>
      <w:kern w:val="2"/>
      <w:sz w:val="24"/>
      <w:szCs w:val="24"/>
    </w:rPr>
  </w:style>
  <w:style w:type="paragraph" w:customStyle="1" w:styleId="6">
    <w:name w:val="标题6"/>
    <w:basedOn w:val="a0"/>
    <w:qFormat/>
    <w:pPr>
      <w:numPr>
        <w:ilvl w:val="5"/>
        <w:numId w:val="1"/>
      </w:numPr>
    </w:pPr>
  </w:style>
  <w:style w:type="paragraph" w:customStyle="1" w:styleId="52">
    <w:name w:val="通用标题5"/>
    <w:pPr>
      <w:widowControl w:val="0"/>
      <w:tabs>
        <w:tab w:val="left" w:pos="1134"/>
      </w:tabs>
      <w:autoSpaceDE w:val="0"/>
      <w:autoSpaceDN w:val="0"/>
      <w:adjustRightInd w:val="0"/>
      <w:snapToGrid w:val="0"/>
      <w:spacing w:afterLines="50" w:after="120" w:line="360" w:lineRule="auto"/>
      <w:ind w:left="710"/>
      <w:jc w:val="both"/>
    </w:pPr>
    <w:rPr>
      <w:rFonts w:ascii="Courier New" w:hAnsi="Courier New"/>
      <w:kern w:val="2"/>
      <w:sz w:val="24"/>
      <w:szCs w:val="21"/>
    </w:rPr>
  </w:style>
  <w:style w:type="paragraph" w:customStyle="1" w:styleId="LISTALPHACAPS3">
    <w:name w:val="LIST ALPHA CAPS 3"/>
    <w:basedOn w:val="a0"/>
    <w:next w:val="34"/>
    <w:qFormat/>
    <w:pPr>
      <w:widowControl/>
      <w:numPr>
        <w:ilvl w:val="2"/>
        <w:numId w:val="11"/>
      </w:numPr>
      <w:tabs>
        <w:tab w:val="left" w:pos="68"/>
      </w:tabs>
      <w:wordWrap w:val="0"/>
      <w:topLinePunct/>
      <w:adjustRightInd w:val="0"/>
      <w:snapToGrid w:val="0"/>
      <w:spacing w:afterLines="50" w:after="200" w:line="288" w:lineRule="auto"/>
      <w:ind w:firstLineChars="200" w:firstLine="200"/>
    </w:pPr>
    <w:rPr>
      <w:rFonts w:ascii="华文细黑" w:hAnsi="华文细黑"/>
      <w:kern w:val="0"/>
      <w:sz w:val="22"/>
      <w:szCs w:val="20"/>
      <w:lang w:val="en-GB"/>
    </w:rPr>
  </w:style>
  <w:style w:type="paragraph" w:customStyle="1" w:styleId="82">
    <w:name w:val="样式8"/>
    <w:basedOn w:val="a0"/>
    <w:qFormat/>
    <w:pPr>
      <w:widowControl/>
      <w:wordWrap w:val="0"/>
      <w:topLinePunct/>
      <w:autoSpaceDE w:val="0"/>
      <w:autoSpaceDN w:val="0"/>
      <w:adjustRightInd w:val="0"/>
      <w:ind w:leftChars="531" w:left="1274" w:firstLine="2"/>
    </w:pPr>
    <w:rPr>
      <w:rFonts w:ascii="Courier New" w:hAnsi="Courier New"/>
      <w:bCs/>
      <w:kern w:val="0"/>
      <w:sz w:val="24"/>
      <w:szCs w:val="20"/>
    </w:rPr>
  </w:style>
  <w:style w:type="paragraph" w:customStyle="1" w:styleId="ListALPHACAPS1">
    <w:name w:val="List ALPHA CAPS 1"/>
    <w:basedOn w:val="a0"/>
    <w:next w:val="a1"/>
    <w:qFormat/>
    <w:pPr>
      <w:widowControl/>
      <w:numPr>
        <w:numId w:val="11"/>
      </w:numPr>
      <w:tabs>
        <w:tab w:val="left" w:pos="22"/>
      </w:tabs>
      <w:wordWrap w:val="0"/>
      <w:topLinePunct/>
      <w:adjustRightInd w:val="0"/>
      <w:snapToGrid w:val="0"/>
      <w:spacing w:afterLines="50" w:after="200" w:line="288" w:lineRule="auto"/>
      <w:ind w:firstLineChars="200" w:firstLine="200"/>
    </w:pPr>
    <w:rPr>
      <w:rFonts w:ascii="华文细黑" w:hAnsi="华文细黑"/>
      <w:kern w:val="0"/>
      <w:sz w:val="22"/>
      <w:szCs w:val="20"/>
      <w:lang w:val="en-GB"/>
    </w:rPr>
  </w:style>
  <w:style w:type="paragraph" w:customStyle="1" w:styleId="20">
    <w:name w:val="通用标题2"/>
    <w:basedOn w:val="2"/>
    <w:next w:val="a0"/>
    <w:qFormat/>
    <w:pPr>
      <w:keepNext w:val="0"/>
      <w:keepLines w:val="0"/>
      <w:widowControl/>
      <w:numPr>
        <w:ilvl w:val="0"/>
        <w:numId w:val="7"/>
      </w:numPr>
      <w:tabs>
        <w:tab w:val="left" w:pos="993"/>
      </w:tabs>
      <w:wordWrap w:val="0"/>
      <w:topLinePunct/>
      <w:adjustRightInd w:val="0"/>
      <w:snapToGrid w:val="0"/>
      <w:spacing w:before="0" w:afterLines="50" w:after="120"/>
    </w:pPr>
    <w:rPr>
      <w:rFonts w:ascii="Calibri Light" w:hAnsi="Calibri Light"/>
      <w:bCs w:val="0"/>
      <w:kern w:val="0"/>
      <w:sz w:val="28"/>
      <w:szCs w:val="20"/>
    </w:rPr>
  </w:style>
  <w:style w:type="paragraph" w:customStyle="1" w:styleId="LISTALPHACAPS2">
    <w:name w:val="LIST ALPHA CAPS 2"/>
    <w:basedOn w:val="a0"/>
    <w:next w:val="26"/>
    <w:qFormat/>
    <w:pPr>
      <w:widowControl/>
      <w:numPr>
        <w:ilvl w:val="1"/>
        <w:numId w:val="11"/>
      </w:numPr>
      <w:tabs>
        <w:tab w:val="left" w:pos="50"/>
      </w:tabs>
      <w:wordWrap w:val="0"/>
      <w:topLinePunct/>
      <w:adjustRightInd w:val="0"/>
      <w:snapToGrid w:val="0"/>
      <w:spacing w:afterLines="50" w:after="200" w:line="288" w:lineRule="auto"/>
      <w:ind w:firstLineChars="200" w:firstLine="200"/>
    </w:pPr>
    <w:rPr>
      <w:rFonts w:ascii="华文细黑" w:hAnsi="华文细黑"/>
      <w:kern w:val="0"/>
      <w:sz w:val="22"/>
      <w:szCs w:val="20"/>
      <w:lang w:val="en-GB"/>
    </w:rPr>
  </w:style>
  <w:style w:type="paragraph" w:customStyle="1" w:styleId="TOC1">
    <w:name w:val="TOC 标题1"/>
    <w:basedOn w:val="10"/>
    <w:next w:val="a0"/>
    <w:uiPriority w:val="39"/>
    <w:unhideWhenUsed/>
    <w:qFormat/>
    <w:pPr>
      <w:keepNext w:val="0"/>
      <w:keepLines w:val="0"/>
      <w:widowControl/>
      <w:wordWrap w:val="0"/>
      <w:topLinePunct/>
      <w:adjustRightInd w:val="0"/>
      <w:snapToGrid w:val="0"/>
      <w:spacing w:before="240" w:afterLines="50" w:after="120" w:line="259" w:lineRule="auto"/>
      <w:ind w:firstLineChars="200" w:firstLine="480"/>
      <w:jc w:val="left"/>
      <w:outlineLvl w:val="9"/>
    </w:pPr>
    <w:rPr>
      <w:rFonts w:ascii="Cambria" w:hAnsi="Cambria"/>
      <w:b w:val="0"/>
      <w:bCs w:val="0"/>
      <w:color w:val="2E75B5"/>
      <w:kern w:val="0"/>
      <w:sz w:val="32"/>
      <w:szCs w:val="32"/>
    </w:rPr>
  </w:style>
  <w:style w:type="paragraph" w:customStyle="1" w:styleId="Style125">
    <w:name w:val="_Style 125"/>
    <w:basedOn w:val="a0"/>
    <w:next w:val="a0"/>
    <w:uiPriority w:val="39"/>
    <w:unhideWhenUsed/>
    <w:qFormat/>
    <w:pPr>
      <w:widowControl/>
      <w:wordWrap w:val="0"/>
      <w:topLinePunct/>
      <w:adjustRightInd w:val="0"/>
      <w:snapToGrid w:val="0"/>
      <w:spacing w:afterLines="50" w:after="120" w:line="360" w:lineRule="auto"/>
      <w:ind w:leftChars="1200" w:left="2520" w:firstLineChars="200" w:firstLine="480"/>
    </w:pPr>
    <w:rPr>
      <w:rFonts w:ascii="Courier New" w:hAnsi="Courier New"/>
      <w:kern w:val="0"/>
      <w:szCs w:val="20"/>
    </w:rPr>
  </w:style>
  <w:style w:type="paragraph" w:customStyle="1" w:styleId="2fa">
    <w:name w:val="修订2"/>
    <w:uiPriority w:val="99"/>
    <w:unhideWhenUsed/>
    <w:qFormat/>
    <w:rPr>
      <w:rFonts w:ascii="Courier New" w:hAnsi="Courier New"/>
      <w:sz w:val="24"/>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rPr>
  </w:style>
  <w:style w:type="paragraph" w:customStyle="1" w:styleId="3e">
    <w:name w:val="修订3"/>
    <w:uiPriority w:val="99"/>
    <w:unhideWhenUsed/>
    <w:qFormat/>
    <w:rPr>
      <w:kern w:val="2"/>
      <w:sz w:val="21"/>
      <w:szCs w:val="24"/>
    </w:rPr>
  </w:style>
  <w:style w:type="table" w:customStyle="1" w:styleId="1fe">
    <w:name w:val="网格型1"/>
    <w:basedOn w:val="a4"/>
    <w:uiPriority w:val="39"/>
    <w:qFormat/>
    <w:rPr>
      <w:rFonts w:ascii="CG Times" w:eastAsia="Verdana" w:hAnsi="CG Times"/>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tblPr>
      <w:tblCellMar>
        <w:top w:w="0" w:type="dxa"/>
        <w:left w:w="0" w:type="dxa"/>
        <w:bottom w:w="0" w:type="dxa"/>
        <w:right w:w="0" w:type="dxa"/>
      </w:tblCellMar>
    </w:tbl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styleId="afff2">
    <w:name w:val="List Paragraph"/>
    <w:basedOn w:val="a0"/>
    <w:uiPriority w:val="1"/>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63</Pages>
  <Words>7706</Words>
  <Characters>43925</Characters>
  <Application>Microsoft Office Word</Application>
  <DocSecurity>0</DocSecurity>
  <Lines>366</Lines>
  <Paragraphs>103</Paragraphs>
  <ScaleCrop>false</ScaleCrop>
  <Company/>
  <LinksUpToDate>false</LinksUpToDate>
  <CharactersWithSpaces>51528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xu ying</cp:lastModifiedBy>
  <cp:revision>19</cp:revision>
  <cp:lastPrinted>2011-12-19T06:05:00Z</cp:lastPrinted>
  <dcterms:created xsi:type="dcterms:W3CDTF">2022-06-29T06:12:00Z</dcterms:created>
  <dcterms:modified xsi:type="dcterms:W3CDTF">2022-09-06T03:53:00Z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95713123172241039F41470EB112B1A7</vt:lpwstr>
  </property>
</Properties>
</file>